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7D" w:rsidRPr="00431CEE" w:rsidRDefault="00AE3291" w:rsidP="00057488">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BAB1C49F9784F31B70FCC2E752B81FA" style="width:450.6pt;height:423pt">
            <v:imagedata r:id="rId9" o:title=""/>
          </v:shape>
        </w:pict>
      </w:r>
    </w:p>
    <w:p w:rsidR="006E547D" w:rsidRPr="00431CEE" w:rsidRDefault="006E547D" w:rsidP="006E547D">
      <w:pPr>
        <w:sectPr w:rsidR="006E547D" w:rsidRPr="00431CEE" w:rsidSect="00431CE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E547D" w:rsidRPr="00431CEE" w:rsidRDefault="006E547D" w:rsidP="00A75600">
      <w:pPr>
        <w:pStyle w:val="Exposdesmotifstitre"/>
      </w:pPr>
      <w:r w:rsidRPr="00431CEE">
        <w:lastRenderedPageBreak/>
        <w:t>UZASADNIENIE</w:t>
      </w:r>
    </w:p>
    <w:p w:rsidR="006E547D" w:rsidRPr="00431CEE" w:rsidRDefault="006E547D" w:rsidP="006E547D">
      <w:pPr>
        <w:pStyle w:val="ManualHeading1"/>
      </w:pPr>
      <w:r w:rsidRPr="00431CEE">
        <w:t>1.</w:t>
      </w:r>
      <w:r w:rsidRPr="00431CEE">
        <w:tab/>
        <w:t>KONTEKST AKTU DELEGOWANEGO</w:t>
      </w:r>
    </w:p>
    <w:p w:rsidR="006E547D" w:rsidRPr="00431CEE" w:rsidRDefault="006E547D" w:rsidP="006E547D">
      <w:r w:rsidRPr="00431CEE">
        <w:t>Dyrektywa (UE) 2016/798 ma na celu między innymi poprawę dostępu do rynku usług transportu kolejowego poprzez określenie wspólnych zasad zarządzania bezpieczeństwem kolei oraz wspólnych zasad regulacji</w:t>
      </w:r>
      <w:r w:rsidR="00057488" w:rsidRPr="00431CEE">
        <w:t xml:space="preserve"> i nad</w:t>
      </w:r>
      <w:r w:rsidRPr="00431CEE">
        <w:t>zoru</w:t>
      </w:r>
      <w:r w:rsidR="00057488" w:rsidRPr="00431CEE">
        <w:t xml:space="preserve"> w tym</w:t>
      </w:r>
      <w:r w:rsidRPr="00431CEE">
        <w:t xml:space="preserve"> zakresie</w:t>
      </w:r>
      <w:r w:rsidR="00057488" w:rsidRPr="00431CEE">
        <w:t>. W szc</w:t>
      </w:r>
      <w:r w:rsidRPr="00431CEE">
        <w:t>zególności zgodnie</w:t>
      </w:r>
      <w:r w:rsidR="00057488" w:rsidRPr="00431CEE">
        <w:t xml:space="preserve"> z art</w:t>
      </w:r>
      <w:r w:rsidRPr="00431CEE">
        <w:t>.</w:t>
      </w:r>
      <w:r w:rsidR="00057488" w:rsidRPr="00431CEE">
        <w:t> </w:t>
      </w:r>
      <w:r w:rsidRPr="00431CEE">
        <w:t>16 ust.</w:t>
      </w:r>
      <w:r w:rsidR="00057488" w:rsidRPr="00431CEE">
        <w:t> </w:t>
      </w:r>
      <w:r w:rsidRPr="00431CEE">
        <w:t>2 lit.</w:t>
      </w:r>
      <w:r w:rsidR="00057488" w:rsidRPr="00431CEE">
        <w:t> </w:t>
      </w:r>
      <w:r w:rsidRPr="00431CEE">
        <w:t>j)</w:t>
      </w:r>
      <w:r w:rsidR="00057488" w:rsidRPr="00431CEE">
        <w:t xml:space="preserve"> i art</w:t>
      </w:r>
      <w:r w:rsidRPr="00431CEE">
        <w:t>.</w:t>
      </w:r>
      <w:r w:rsidR="00057488" w:rsidRPr="00431CEE">
        <w:t> </w:t>
      </w:r>
      <w:r w:rsidRPr="00431CEE">
        <w:t>17 ust.</w:t>
      </w:r>
      <w:r w:rsidR="00057488" w:rsidRPr="00431CEE">
        <w:t> </w:t>
      </w:r>
      <w:r w:rsidRPr="00431CEE">
        <w:t>1 dyrektywy (UE) 2016/798 krajowe organy ds. bezpieczeństwa są zobowiązane nadzorować stałe przestrzeganie prawnego obowiązku, spoczywającego na przedsiębiorstwach kolejowych</w:t>
      </w:r>
      <w:r w:rsidR="00057488" w:rsidRPr="00431CEE">
        <w:t xml:space="preserve"> i zar</w:t>
      </w:r>
      <w:r w:rsidRPr="00431CEE">
        <w:t>ządcach infrastruktury, stosowania systemu zarządzania bezpieczeństwem,</w:t>
      </w:r>
      <w:r w:rsidR="00057488" w:rsidRPr="00431CEE">
        <w:t xml:space="preserve"> o któ</w:t>
      </w:r>
      <w:r w:rsidRPr="00431CEE">
        <w:t>rym mowa</w:t>
      </w:r>
      <w:r w:rsidR="00057488" w:rsidRPr="00431CEE">
        <w:t xml:space="preserve"> w art</w:t>
      </w:r>
      <w:r w:rsidRPr="00431CEE">
        <w:t>.</w:t>
      </w:r>
      <w:r w:rsidR="00057488" w:rsidRPr="00431CEE">
        <w:t> </w:t>
      </w:r>
      <w:r w:rsidRPr="00431CEE">
        <w:t>9 tej dyrektywy.</w:t>
      </w:r>
    </w:p>
    <w:p w:rsidR="006E547D" w:rsidRPr="00431CEE" w:rsidRDefault="006E547D" w:rsidP="006E547D">
      <w:r w:rsidRPr="00431CEE">
        <w:t>Przepisy art.</w:t>
      </w:r>
      <w:r w:rsidR="00057488" w:rsidRPr="00431CEE">
        <w:t> </w:t>
      </w:r>
      <w:r w:rsidRPr="00431CEE">
        <w:t>6 ust.</w:t>
      </w:r>
      <w:r w:rsidR="00057488" w:rsidRPr="00431CEE">
        <w:t> </w:t>
      </w:r>
      <w:r w:rsidRPr="00431CEE">
        <w:t>1 lit.</w:t>
      </w:r>
      <w:r w:rsidR="00057488" w:rsidRPr="00431CEE">
        <w:t> </w:t>
      </w:r>
      <w:r w:rsidRPr="00431CEE">
        <w:t xml:space="preserve">c) dyrektywy (UE) 2016/798 zapewniają krajowym organom ds. bezpieczeństwa ramy na potrzeby </w:t>
      </w:r>
      <w:proofErr w:type="spellStart"/>
      <w:r w:rsidRPr="00431CEE">
        <w:t>ogólnounijnej</w:t>
      </w:r>
      <w:proofErr w:type="spellEnd"/>
      <w:r w:rsidRPr="00431CEE">
        <w:t xml:space="preserve"> harmonizacji ich podejścia do nadzoru poprzez stosowanie wspólnych metod oceny bezpieczeństwa (CSM,</w:t>
      </w:r>
      <w:r w:rsidR="00057488" w:rsidRPr="00431CEE">
        <w:t xml:space="preserve"> z ang</w:t>
      </w:r>
      <w:r w:rsidRPr="00431CEE">
        <w:t xml:space="preserve">. </w:t>
      </w:r>
      <w:proofErr w:type="spellStart"/>
      <w:r w:rsidRPr="00431CEE">
        <w:rPr>
          <w:i/>
        </w:rPr>
        <w:t>common</w:t>
      </w:r>
      <w:proofErr w:type="spellEnd"/>
      <w:r w:rsidRPr="00431CEE">
        <w:rPr>
          <w:i/>
        </w:rPr>
        <w:t xml:space="preserve"> </w:t>
      </w:r>
      <w:proofErr w:type="spellStart"/>
      <w:r w:rsidRPr="00431CEE">
        <w:rPr>
          <w:i/>
        </w:rPr>
        <w:t>safety</w:t>
      </w:r>
      <w:proofErr w:type="spellEnd"/>
      <w:r w:rsidRPr="00431CEE">
        <w:rPr>
          <w:i/>
        </w:rPr>
        <w:t xml:space="preserve"> </w:t>
      </w:r>
      <w:proofErr w:type="spellStart"/>
      <w:r w:rsidRPr="00431CEE">
        <w:rPr>
          <w:i/>
        </w:rPr>
        <w:t>methods</w:t>
      </w:r>
      <w:proofErr w:type="spellEnd"/>
      <w:r w:rsidRPr="00431CEE">
        <w:t>). CSM należy regularnie aktualizować zgodnie</w:t>
      </w:r>
      <w:r w:rsidR="00057488" w:rsidRPr="00431CEE">
        <w:t xml:space="preserve"> z art</w:t>
      </w:r>
      <w:r w:rsidRPr="00431CEE">
        <w:t>.</w:t>
      </w:r>
      <w:r w:rsidR="00057488" w:rsidRPr="00431CEE">
        <w:t> </w:t>
      </w:r>
      <w:r w:rsidRPr="00431CEE">
        <w:t>6 ust.</w:t>
      </w:r>
      <w:r w:rsidR="00057488" w:rsidRPr="00431CEE">
        <w:t> </w:t>
      </w:r>
      <w:r w:rsidRPr="00431CEE">
        <w:t>5 dyrektywy (UE) 2016/798.</w:t>
      </w:r>
    </w:p>
    <w:p w:rsidR="006E547D" w:rsidRPr="00431CEE" w:rsidRDefault="006E547D" w:rsidP="006E547D">
      <w:pPr>
        <w:pStyle w:val="ManualHeading1"/>
      </w:pPr>
      <w:r w:rsidRPr="00431CEE">
        <w:t>2.</w:t>
      </w:r>
      <w:r w:rsidRPr="00431CEE">
        <w:tab/>
        <w:t>KONSULTACJE PRZEPROWADZONE PRZED PRZYJĘCIEM AKTU</w:t>
      </w:r>
    </w:p>
    <w:p w:rsidR="006E547D" w:rsidRPr="00431CEE" w:rsidRDefault="006E547D" w:rsidP="006E547D">
      <w:r w:rsidRPr="00431CEE">
        <w:t>Zgodnie</w:t>
      </w:r>
      <w:r w:rsidR="00057488" w:rsidRPr="00431CEE">
        <w:t xml:space="preserve"> z art</w:t>
      </w:r>
      <w:r w:rsidRPr="00431CEE">
        <w:t>.</w:t>
      </w:r>
      <w:r w:rsidR="00057488" w:rsidRPr="00431CEE">
        <w:t> </w:t>
      </w:r>
      <w:r w:rsidRPr="00431CEE">
        <w:t>6 ust.</w:t>
      </w:r>
      <w:r w:rsidR="00057488" w:rsidRPr="00431CEE">
        <w:t> </w:t>
      </w:r>
      <w:r w:rsidRPr="00431CEE">
        <w:t>2 dyrektywy (UE) 2016/798 Komisja</w:t>
      </w:r>
      <w:r w:rsidR="00057488" w:rsidRPr="00431CEE">
        <w:t xml:space="preserve"> w dni</w:t>
      </w:r>
      <w:r w:rsidRPr="00431CEE">
        <w:t>u 1 września 2016</w:t>
      </w:r>
      <w:r w:rsidR="00057488" w:rsidRPr="00431CEE">
        <w:t> </w:t>
      </w:r>
      <w:r w:rsidRPr="00431CEE">
        <w:t>r. udzieliła Agencji Kolejowej Unii Europejskiej („Agencja”) upoważnienia do opracowania projektów zmian we wspólnej metodzie oceny bezpieczeństwa</w:t>
      </w:r>
      <w:r w:rsidR="00057488" w:rsidRPr="00431CEE">
        <w:t xml:space="preserve"> w odn</w:t>
      </w:r>
      <w:r w:rsidRPr="00431CEE">
        <w:t>iesieniu do zgodności</w:t>
      </w:r>
      <w:r w:rsidR="00057488" w:rsidRPr="00431CEE">
        <w:t xml:space="preserve"> z wym</w:t>
      </w:r>
      <w:r w:rsidRPr="00431CEE">
        <w:t>ogami dotyczącymi uzyskania kolejowych certyfikatów bezpieczeństwa,</w:t>
      </w:r>
      <w:r w:rsidR="00057488" w:rsidRPr="00431CEE">
        <w:t xml:space="preserve"> o któ</w:t>
      </w:r>
      <w:r w:rsidRPr="00431CEE">
        <w:t>rej mowa</w:t>
      </w:r>
      <w:r w:rsidR="00057488" w:rsidRPr="00431CEE">
        <w:t xml:space="preserve"> w roz</w:t>
      </w:r>
      <w:r w:rsidRPr="00431CEE">
        <w:t>porządzeniu Komisji (UE) nr</w:t>
      </w:r>
      <w:r w:rsidR="00057488" w:rsidRPr="00431CEE">
        <w:t> </w:t>
      </w:r>
      <w:r w:rsidRPr="00431CEE">
        <w:t>1158/2010</w:t>
      </w:r>
      <w:r w:rsidR="00057488" w:rsidRPr="00431CEE">
        <w:t xml:space="preserve"> z dni</w:t>
      </w:r>
      <w:r w:rsidRPr="00431CEE">
        <w:t>a 9 grudnia 2010</w:t>
      </w:r>
      <w:r w:rsidR="00057488" w:rsidRPr="00431CEE">
        <w:t> </w:t>
      </w:r>
      <w:r w:rsidRPr="00431CEE">
        <w:t>r., we wspólnej metodzie oceny bezpieczeństwa</w:t>
      </w:r>
      <w:r w:rsidR="00057488" w:rsidRPr="00431CEE">
        <w:t xml:space="preserve"> w odn</w:t>
      </w:r>
      <w:r w:rsidRPr="00431CEE">
        <w:t>iesieniu do zgodności</w:t>
      </w:r>
      <w:r w:rsidR="00057488" w:rsidRPr="00431CEE">
        <w:t xml:space="preserve"> z wym</w:t>
      </w:r>
      <w:r w:rsidRPr="00431CEE">
        <w:t>ogami dotyczącymi uzyskania kolejowych autoryzacji</w:t>
      </w:r>
      <w:r w:rsidR="00057488" w:rsidRPr="00431CEE">
        <w:t xml:space="preserve"> w zak</w:t>
      </w:r>
      <w:r w:rsidRPr="00431CEE">
        <w:t>resie bezpieczeństwa,</w:t>
      </w:r>
      <w:r w:rsidR="00057488" w:rsidRPr="00431CEE">
        <w:t xml:space="preserve"> o któ</w:t>
      </w:r>
      <w:r w:rsidRPr="00431CEE">
        <w:t>rej mowa</w:t>
      </w:r>
      <w:r w:rsidR="00057488" w:rsidRPr="00431CEE">
        <w:t xml:space="preserve"> w roz</w:t>
      </w:r>
      <w:r w:rsidRPr="00431CEE">
        <w:t>porządzeniu Komisji (UE) nr</w:t>
      </w:r>
      <w:r w:rsidR="00057488" w:rsidRPr="00431CEE">
        <w:t> </w:t>
      </w:r>
      <w:r w:rsidRPr="00431CEE">
        <w:t>1169/2010</w:t>
      </w:r>
      <w:r w:rsidR="00057488" w:rsidRPr="00431CEE">
        <w:t xml:space="preserve"> z dni</w:t>
      </w:r>
      <w:r w:rsidRPr="00431CEE">
        <w:t>a 10 grudnia 2010</w:t>
      </w:r>
      <w:r w:rsidR="00057488" w:rsidRPr="00431CEE">
        <w:t> </w:t>
      </w:r>
      <w:r w:rsidRPr="00431CEE">
        <w:t>r., oraz we wspólnej metodzie oceny bezpieczeństwa</w:t>
      </w:r>
      <w:r w:rsidR="00057488" w:rsidRPr="00431CEE">
        <w:t xml:space="preserve"> w odn</w:t>
      </w:r>
      <w:r w:rsidRPr="00431CEE">
        <w:t xml:space="preserve">iesieniu do nadzoru sprawowanego przez krajowe organy ds. bezpieczeństwa po wydaniu certyfikatu bezpieczeństwa </w:t>
      </w:r>
      <w:proofErr w:type="gramStart"/>
      <w:r w:rsidRPr="00431CEE">
        <w:t>lub</w:t>
      </w:r>
      <w:proofErr w:type="gramEnd"/>
      <w:r w:rsidRPr="00431CEE">
        <w:t xml:space="preserve"> autoryzacji bezpieczeństwa,</w:t>
      </w:r>
      <w:r w:rsidR="00057488" w:rsidRPr="00431CEE">
        <w:t xml:space="preserve"> o któ</w:t>
      </w:r>
      <w:r w:rsidRPr="00431CEE">
        <w:t>rej mowa</w:t>
      </w:r>
      <w:r w:rsidR="00057488" w:rsidRPr="00431CEE">
        <w:t xml:space="preserve"> w roz</w:t>
      </w:r>
      <w:r w:rsidRPr="00431CEE">
        <w:t>porządzeniu Komisji (UE) nr</w:t>
      </w:r>
      <w:r w:rsidR="00057488" w:rsidRPr="00431CEE">
        <w:t> </w:t>
      </w:r>
      <w:r w:rsidRPr="00431CEE">
        <w:t>1077/2012</w:t>
      </w:r>
      <w:r w:rsidR="00057488" w:rsidRPr="00431CEE">
        <w:t xml:space="preserve"> z dni</w:t>
      </w:r>
      <w:r w:rsidRPr="00431CEE">
        <w:t>a 16 listopada 2012</w:t>
      </w:r>
      <w:r w:rsidR="00057488" w:rsidRPr="00431CEE">
        <w:t> </w:t>
      </w:r>
      <w:r w:rsidRPr="00431CEE">
        <w:t>r. Zgodnie</w:t>
      </w:r>
      <w:r w:rsidR="00057488" w:rsidRPr="00431CEE">
        <w:t xml:space="preserve"> z udz</w:t>
      </w:r>
      <w:r w:rsidRPr="00431CEE">
        <w:t>ielonym przez Komisję upoważnieniem</w:t>
      </w:r>
      <w:r w:rsidR="00057488" w:rsidRPr="00431CEE">
        <w:t xml:space="preserve"> w dni</w:t>
      </w:r>
      <w:r w:rsidRPr="00431CEE">
        <w:t>u 9 marca 2017</w:t>
      </w:r>
      <w:r w:rsidR="00057488" w:rsidRPr="00431CEE">
        <w:t> </w:t>
      </w:r>
      <w:r w:rsidRPr="00431CEE">
        <w:t>r. Agencja przedłożyła Komisji swoje zalecenie dotyczące zmian we wspólnych metodach oceny bezpieczeństwa, poparte sprawozdaniem</w:t>
      </w:r>
      <w:r w:rsidR="00057488" w:rsidRPr="00431CEE">
        <w:t xml:space="preserve"> z oce</w:t>
      </w:r>
      <w:r w:rsidRPr="00431CEE">
        <w:t>ny skutków.</w:t>
      </w:r>
    </w:p>
    <w:p w:rsidR="006E547D" w:rsidRPr="00431CEE" w:rsidRDefault="006E547D" w:rsidP="006E547D">
      <w:r w:rsidRPr="00431CEE">
        <w:t>W dniu 12 kwietnia 2017</w:t>
      </w:r>
      <w:r w:rsidR="00057488" w:rsidRPr="00431CEE">
        <w:t> </w:t>
      </w:r>
      <w:r w:rsidRPr="00431CEE">
        <w:t>r. przeprowadzono konsultacje na temat zalecenia Agencji</w:t>
      </w:r>
      <w:r w:rsidR="00057488" w:rsidRPr="00431CEE">
        <w:t xml:space="preserve"> z dzi</w:t>
      </w:r>
      <w:r w:rsidRPr="00431CEE">
        <w:t>ałającą przy Komisji grupą ekspertów ds. technicznego filaru czwartego pakietu kolejowego,</w:t>
      </w:r>
      <w:r w:rsidR="00057488" w:rsidRPr="00431CEE">
        <w:t xml:space="preserve"> a pro</w:t>
      </w:r>
      <w:r w:rsidRPr="00431CEE">
        <w:t>jekt wniosku Komisji przedstawiono dnia 5 lipca 2017</w:t>
      </w:r>
      <w:r w:rsidR="00057488" w:rsidRPr="00431CEE">
        <w:t> </w:t>
      </w:r>
      <w:r w:rsidRPr="00431CEE">
        <w:t>r.</w:t>
      </w:r>
    </w:p>
    <w:p w:rsidR="006E547D" w:rsidRPr="00431CEE" w:rsidRDefault="006E547D" w:rsidP="006E547D">
      <w:r w:rsidRPr="00431CEE">
        <w:t>Konsultacje publiczne trwały od</w:t>
      </w:r>
      <w:r w:rsidR="00057488" w:rsidRPr="00431CEE">
        <w:t> </w:t>
      </w:r>
      <w:r w:rsidRPr="00431CEE">
        <w:t>24 sierpnia do</w:t>
      </w:r>
      <w:r w:rsidR="00057488" w:rsidRPr="00431CEE">
        <w:t> </w:t>
      </w:r>
      <w:r w:rsidRPr="00431CEE">
        <w:t>21 września 2017</w:t>
      </w:r>
      <w:r w:rsidR="00057488" w:rsidRPr="00431CEE">
        <w:t> </w:t>
      </w:r>
      <w:r w:rsidRPr="00431CEE">
        <w:t>r. (nr ref: Ares(2017)4156907)</w:t>
      </w:r>
      <w:r w:rsidR="00057488" w:rsidRPr="00431CEE">
        <w:t>. W now</w:t>
      </w:r>
      <w:r w:rsidRPr="00431CEE">
        <w:t>ej wersji projektu wniosku uwzględniono niektóre</w:t>
      </w:r>
      <w:r w:rsidR="00057488" w:rsidRPr="00431CEE">
        <w:t xml:space="preserve"> z prz</w:t>
      </w:r>
      <w:r w:rsidRPr="00431CEE">
        <w:t>ekazanych uwag.</w:t>
      </w:r>
    </w:p>
    <w:p w:rsidR="006E547D" w:rsidRPr="00431CEE" w:rsidRDefault="006E547D" w:rsidP="006E547D">
      <w:pPr>
        <w:pStyle w:val="ManualHeading1"/>
      </w:pPr>
      <w:r w:rsidRPr="00431CEE">
        <w:t>3.</w:t>
      </w:r>
      <w:r w:rsidRPr="00431CEE">
        <w:tab/>
        <w:t>ASPEKTY PRAWNE AKTU DELEGOWANEGO</w:t>
      </w:r>
    </w:p>
    <w:p w:rsidR="006E547D" w:rsidRPr="00431CEE" w:rsidRDefault="006E547D" w:rsidP="006E547D">
      <w:r w:rsidRPr="00431CEE">
        <w:t>Niniejsze rozporządzenie ustanawia wspólną metodę oceny bezpieczeństwa</w:t>
      </w:r>
      <w:r w:rsidR="00057488" w:rsidRPr="00431CEE">
        <w:t xml:space="preserve"> w odn</w:t>
      </w:r>
      <w:r w:rsidRPr="00431CEE">
        <w:t>iesieniu do nadzoru nad spełnianiem przez przedsiębiorstwa kolejowe</w:t>
      </w:r>
      <w:r w:rsidR="00057488" w:rsidRPr="00431CEE">
        <w:t xml:space="preserve"> i zar</w:t>
      </w:r>
      <w:r w:rsidRPr="00431CEE">
        <w:t>ządców infrastruktury obowiązków spoczywających na nich</w:t>
      </w:r>
      <w:r w:rsidR="00057488" w:rsidRPr="00431CEE">
        <w:t xml:space="preserve"> w zak</w:t>
      </w:r>
      <w:r w:rsidRPr="00431CEE">
        <w:t>resie zarządzaniem bezpieczeństwem, sprawowanego przez krajowe organy ds. bezpieczeństwa po wydaniu certyfikatów bezpieczeństwa względnie autoryzacji</w:t>
      </w:r>
      <w:r w:rsidR="00057488" w:rsidRPr="00431CEE">
        <w:t xml:space="preserve"> w zak</w:t>
      </w:r>
      <w:r w:rsidRPr="00431CEE">
        <w:t>resie bezpieczeństwa</w:t>
      </w:r>
      <w:r w:rsidR="00057488" w:rsidRPr="00431CEE">
        <w:t xml:space="preserve"> i o któ</w:t>
      </w:r>
      <w:r w:rsidRPr="00431CEE">
        <w:t>rym to nadzorze jest mowa</w:t>
      </w:r>
      <w:r w:rsidR="00057488" w:rsidRPr="00431CEE">
        <w:t xml:space="preserve"> w art</w:t>
      </w:r>
      <w:r w:rsidRPr="00431CEE">
        <w:t>.</w:t>
      </w:r>
      <w:r w:rsidR="00057488" w:rsidRPr="00431CEE">
        <w:t> </w:t>
      </w:r>
      <w:r w:rsidRPr="00431CEE">
        <w:t>6 ust.</w:t>
      </w:r>
      <w:r w:rsidR="00057488" w:rsidRPr="00431CEE">
        <w:t> </w:t>
      </w:r>
      <w:r w:rsidRPr="00431CEE">
        <w:t>1 lit.</w:t>
      </w:r>
      <w:r w:rsidR="00057488" w:rsidRPr="00431CEE">
        <w:t> </w:t>
      </w:r>
      <w:r w:rsidRPr="00431CEE">
        <w:t>c)</w:t>
      </w:r>
      <w:r w:rsidR="00057488" w:rsidRPr="00431CEE">
        <w:t xml:space="preserve"> i art</w:t>
      </w:r>
      <w:r w:rsidRPr="00431CEE">
        <w:t>.</w:t>
      </w:r>
      <w:r w:rsidR="00057488" w:rsidRPr="00431CEE">
        <w:t> </w:t>
      </w:r>
      <w:r w:rsidRPr="00431CEE">
        <w:t>17 ust.</w:t>
      </w:r>
      <w:r w:rsidR="00057488" w:rsidRPr="00431CEE">
        <w:t> </w:t>
      </w:r>
      <w:r w:rsidRPr="00431CEE">
        <w:t>1 dyrektywy (UE) 2016/798.</w:t>
      </w:r>
    </w:p>
    <w:p w:rsidR="006E547D" w:rsidRPr="00431CEE" w:rsidRDefault="006E547D" w:rsidP="006E547D">
      <w:pPr>
        <w:sectPr w:rsidR="006E547D" w:rsidRPr="00431CEE" w:rsidSect="00431CEE">
          <w:footerReference w:type="default" r:id="rId16"/>
          <w:footerReference w:type="first" r:id="rId17"/>
          <w:pgSz w:w="11907" w:h="16839"/>
          <w:pgMar w:top="1134" w:right="1417" w:bottom="1134" w:left="1417" w:header="709" w:footer="709" w:gutter="0"/>
          <w:cols w:space="708"/>
          <w:docGrid w:linePitch="360"/>
        </w:sectPr>
      </w:pPr>
    </w:p>
    <w:p w:rsidR="006E547D" w:rsidRPr="00431CEE" w:rsidRDefault="00057488" w:rsidP="00057488">
      <w:pPr>
        <w:pStyle w:val="Typedudocument"/>
      </w:pPr>
      <w:r w:rsidRPr="00431CEE">
        <w:lastRenderedPageBreak/>
        <w:t>ROZPORZĄDZENIE DELEGOWANE KOMISJI (UE) …/…</w:t>
      </w:r>
    </w:p>
    <w:p w:rsidR="006E547D" w:rsidRPr="00431CEE" w:rsidRDefault="00057488" w:rsidP="00057488">
      <w:pPr>
        <w:pStyle w:val="Datedadoption"/>
      </w:pPr>
      <w:proofErr w:type="gramStart"/>
      <w:r w:rsidRPr="00431CEE">
        <w:t>z</w:t>
      </w:r>
      <w:proofErr w:type="gramEnd"/>
      <w:r w:rsidRPr="00431CEE">
        <w:t xml:space="preserve"> dnia </w:t>
      </w:r>
      <w:r w:rsidRPr="00431CEE">
        <w:rPr>
          <w:rStyle w:val="Marker2"/>
        </w:rPr>
        <w:t>XXX</w:t>
      </w:r>
      <w:r w:rsidRPr="00431CEE">
        <w:t xml:space="preserve"> r.</w:t>
      </w:r>
    </w:p>
    <w:p w:rsidR="006E547D" w:rsidRPr="00431CEE" w:rsidRDefault="00057488" w:rsidP="00057488">
      <w:pPr>
        <w:pStyle w:val="Titreobjet"/>
      </w:pPr>
      <w:proofErr w:type="gramStart"/>
      <w:r w:rsidRPr="00431CEE">
        <w:t>ustanawiające</w:t>
      </w:r>
      <w:proofErr w:type="gramEnd"/>
      <w:r w:rsidRPr="00431CEE">
        <w:t xml:space="preserve"> wspólne metody oceny bezpieczeństwa w odniesieniu do nadzoru sprawowanego przez krajowe organy ds. bezpieczeństwa po wydaniu jednolitego certyfikatu bezpieczeństwa lub autoryzacji w zakresie bezpieczeństwa na podstawie dyrektywy Parlamentu Europejskiego i Rady (UE) 2016/798 i uchylające rozporządzenie Komisji (UE) nr 1077/2012</w:t>
      </w:r>
    </w:p>
    <w:p w:rsidR="003852CD" w:rsidRPr="00431CEE" w:rsidRDefault="00057488" w:rsidP="00057488">
      <w:pPr>
        <w:pStyle w:val="IntrtEEE"/>
      </w:pPr>
      <w:r w:rsidRPr="00431CEE">
        <w:t>(Tekst mający znaczenie dla EOG)</w:t>
      </w:r>
    </w:p>
    <w:p w:rsidR="006E547D" w:rsidRPr="00431CEE" w:rsidRDefault="006E547D" w:rsidP="009343DF">
      <w:pPr>
        <w:pStyle w:val="Institutionquiagit"/>
      </w:pPr>
      <w:r w:rsidRPr="00431CEE">
        <w:t>KOMISJA EUROPEJSKA,</w:t>
      </w:r>
    </w:p>
    <w:p w:rsidR="006E547D" w:rsidRPr="00431CEE" w:rsidRDefault="006E547D" w:rsidP="006E547D">
      <w:proofErr w:type="gramStart"/>
      <w:r w:rsidRPr="00431CEE">
        <w:t>uwzględniając</w:t>
      </w:r>
      <w:proofErr w:type="gramEnd"/>
      <w:r w:rsidRPr="00431CEE">
        <w:t xml:space="preserve"> Traktat</w:t>
      </w:r>
      <w:r w:rsidR="00057488" w:rsidRPr="00431CEE">
        <w:t xml:space="preserve"> o fun</w:t>
      </w:r>
      <w:r w:rsidRPr="00431CEE">
        <w:t>kcjonowaniu Unii Europejskiej,</w:t>
      </w:r>
    </w:p>
    <w:p w:rsidR="006E547D" w:rsidRPr="00431CEE" w:rsidRDefault="006E547D" w:rsidP="006E547D">
      <w:proofErr w:type="gramStart"/>
      <w:r w:rsidRPr="00431CEE">
        <w:t>uwzględniając</w:t>
      </w:r>
      <w:proofErr w:type="gramEnd"/>
      <w:r w:rsidRPr="00431CEE">
        <w:t xml:space="preserve"> dyrektywę Parlamentu Europejskiego</w:t>
      </w:r>
      <w:r w:rsidR="00057488" w:rsidRPr="00431CEE">
        <w:t xml:space="preserve"> i Rad</w:t>
      </w:r>
      <w:r w:rsidRPr="00431CEE">
        <w:t>y (UE) 2016/798</w:t>
      </w:r>
      <w:r w:rsidR="00057488" w:rsidRPr="00431CEE">
        <w:t xml:space="preserve"> z dni</w:t>
      </w:r>
      <w:r w:rsidRPr="00431CEE">
        <w:t>a 11 maja 2016</w:t>
      </w:r>
      <w:r w:rsidR="00057488" w:rsidRPr="00431CEE">
        <w:t> </w:t>
      </w:r>
      <w:r w:rsidRPr="00431CEE">
        <w:t>r.</w:t>
      </w:r>
      <w:r w:rsidR="00057488" w:rsidRPr="00431CEE">
        <w:t xml:space="preserve"> w spr</w:t>
      </w:r>
      <w:r w:rsidRPr="00431CEE">
        <w:t>awie bezpieczeństwa kolei</w:t>
      </w:r>
      <w:r w:rsidRPr="00431CEE">
        <w:rPr>
          <w:rStyle w:val="FootnoteReference"/>
        </w:rPr>
        <w:footnoteReference w:id="1"/>
      </w:r>
      <w:r w:rsidRPr="00431CEE">
        <w:t>,</w:t>
      </w:r>
      <w:r w:rsidR="00057488" w:rsidRPr="00431CEE">
        <w:t xml:space="preserve"> w szc</w:t>
      </w:r>
      <w:r w:rsidRPr="00431CEE">
        <w:t>zególności jej art.</w:t>
      </w:r>
      <w:r w:rsidR="00057488" w:rsidRPr="00431CEE">
        <w:t> </w:t>
      </w:r>
      <w:r w:rsidRPr="00431CEE">
        <w:t>6 ust.</w:t>
      </w:r>
      <w:r w:rsidR="00057488" w:rsidRPr="00431CEE">
        <w:t> </w:t>
      </w:r>
      <w:r w:rsidRPr="00431CEE">
        <w:t>6,</w:t>
      </w:r>
    </w:p>
    <w:p w:rsidR="006E547D" w:rsidRPr="00431CEE" w:rsidRDefault="006E547D" w:rsidP="006E547D">
      <w:proofErr w:type="gramStart"/>
      <w:r w:rsidRPr="00431CEE">
        <w:t>uwzględniając</w:t>
      </w:r>
      <w:proofErr w:type="gramEnd"/>
      <w:r w:rsidRPr="00431CEE">
        <w:t xml:space="preserve"> zalecenie Agencji Kolejowej Unii Europejskiej ERA-REC-115-REC</w:t>
      </w:r>
      <w:r w:rsidR="00057488" w:rsidRPr="00431CEE">
        <w:t xml:space="preserve"> w spr</w:t>
      </w:r>
      <w:r w:rsidRPr="00431CEE">
        <w:t>awie zmian we wspólnych metodach oceny bezpieczeństwa</w:t>
      </w:r>
      <w:r w:rsidR="00057488" w:rsidRPr="00431CEE">
        <w:t xml:space="preserve"> w odn</w:t>
      </w:r>
      <w:r w:rsidRPr="00431CEE">
        <w:t>iesieniu do oceny zgodności oraz we wspólnej metodzie oceny bezpieczeństwa</w:t>
      </w:r>
      <w:r w:rsidR="00057488" w:rsidRPr="00431CEE">
        <w:t xml:space="preserve"> w odn</w:t>
      </w:r>
      <w:r w:rsidRPr="00431CEE">
        <w:t>iesieniu do nadzoru, przekazane Komisji dnia 9 marca 2017</w:t>
      </w:r>
      <w:r w:rsidR="00057488" w:rsidRPr="00431CEE">
        <w:t> </w:t>
      </w:r>
      <w:r w:rsidRPr="00431CEE">
        <w:t>r.,</w:t>
      </w:r>
    </w:p>
    <w:p w:rsidR="006E547D" w:rsidRPr="00431CEE" w:rsidRDefault="006E547D" w:rsidP="006E547D">
      <w:proofErr w:type="gramStart"/>
      <w:r w:rsidRPr="00431CEE">
        <w:t>a</w:t>
      </w:r>
      <w:proofErr w:type="gramEnd"/>
      <w:r w:rsidRPr="00431CEE">
        <w:t xml:space="preserve"> także mając na uwadze, co następuje:</w:t>
      </w:r>
    </w:p>
    <w:p w:rsidR="006E547D" w:rsidRPr="00431CEE" w:rsidRDefault="006E547D" w:rsidP="00172361">
      <w:pPr>
        <w:pStyle w:val="Considrant"/>
        <w:numPr>
          <w:ilvl w:val="0"/>
          <w:numId w:val="2"/>
        </w:numPr>
      </w:pPr>
      <w:r w:rsidRPr="00431CEE">
        <w:t>Wspólne metody oceny bezpieczeństwa (CSM) określają, jak należy oceniać poziomy bezpieczeństwa</w:t>
      </w:r>
      <w:r w:rsidR="00057488" w:rsidRPr="00431CEE">
        <w:t xml:space="preserve"> i osi</w:t>
      </w:r>
      <w:r w:rsidRPr="00431CEE">
        <w:t>ąganie wymagań bezpieczeństwa oraz zgodność</w:t>
      </w:r>
      <w:r w:rsidR="00057488" w:rsidRPr="00431CEE">
        <w:t xml:space="preserve"> z inn</w:t>
      </w:r>
      <w:r w:rsidRPr="00431CEE">
        <w:t>ymi wymaganiami dotyczącymi bezpieczeństwa.</w:t>
      </w:r>
    </w:p>
    <w:p w:rsidR="006E547D" w:rsidRPr="00431CEE" w:rsidRDefault="006E547D" w:rsidP="006E547D">
      <w:pPr>
        <w:pStyle w:val="Considrant"/>
      </w:pPr>
      <w:r w:rsidRPr="00431CEE">
        <w:t>Zgodnie</w:t>
      </w:r>
      <w:r w:rsidR="00057488" w:rsidRPr="00431CEE">
        <w:t xml:space="preserve"> z art</w:t>
      </w:r>
      <w:r w:rsidRPr="00431CEE">
        <w:t>.</w:t>
      </w:r>
      <w:r w:rsidR="00057488" w:rsidRPr="00431CEE">
        <w:t> </w:t>
      </w:r>
      <w:r w:rsidRPr="00431CEE">
        <w:t>6 ust.</w:t>
      </w:r>
      <w:r w:rsidR="00057488" w:rsidRPr="00431CEE">
        <w:t> </w:t>
      </w:r>
      <w:r w:rsidRPr="00431CEE">
        <w:t>5 dyrektywy (UE) 2016/798 CSM należy regularnie aktualizować</w:t>
      </w:r>
      <w:r w:rsidR="00057488" w:rsidRPr="00431CEE">
        <w:t xml:space="preserve"> z uwz</w:t>
      </w:r>
      <w:r w:rsidRPr="00431CEE">
        <w:t>ględnieniem doświadczeń zebranych przy ich stosowaniu oraz globalnego rozwoju bezpieczeństwa kolei,</w:t>
      </w:r>
      <w:r w:rsidR="00057488" w:rsidRPr="00431CEE">
        <w:t xml:space="preserve"> a tak</w:t>
      </w:r>
      <w:r w:rsidRPr="00431CEE">
        <w:t>że</w:t>
      </w:r>
      <w:r w:rsidR="00057488" w:rsidRPr="00431CEE">
        <w:t xml:space="preserve"> w cel</w:t>
      </w:r>
      <w:r w:rsidRPr="00431CEE">
        <w:t>u ogólnego utrzymania poziomu bezpieczeństwa i – gdy jest to wykonalne</w:t>
      </w:r>
      <w:r w:rsidR="00057488" w:rsidRPr="00431CEE">
        <w:t xml:space="preserve"> w spo</w:t>
      </w:r>
      <w:r w:rsidRPr="00431CEE">
        <w:t>sób rozsądny – jego ciągłej poprawy.</w:t>
      </w:r>
    </w:p>
    <w:p w:rsidR="006E547D" w:rsidRPr="00431CEE" w:rsidRDefault="006E547D" w:rsidP="006E547D">
      <w:pPr>
        <w:pStyle w:val="Considrant"/>
      </w:pPr>
      <w:r w:rsidRPr="00431CEE">
        <w:t>Na mocy decyzji wykonawczej</w:t>
      </w:r>
      <w:r w:rsidR="00057488" w:rsidRPr="00431CEE">
        <w:t xml:space="preserve"> z dni</w:t>
      </w:r>
      <w:r w:rsidRPr="00431CEE">
        <w:t>a 1 września 2016</w:t>
      </w:r>
      <w:r w:rsidR="00057488" w:rsidRPr="00431CEE">
        <w:t> </w:t>
      </w:r>
      <w:r w:rsidRPr="00431CEE">
        <w:t>r.</w:t>
      </w:r>
      <w:r w:rsidRPr="00431CEE">
        <w:rPr>
          <w:rStyle w:val="FootnoteReference"/>
        </w:rPr>
        <w:footnoteReference w:id="2"/>
      </w:r>
      <w:r w:rsidR="00057488" w:rsidRPr="00431CEE">
        <w:t xml:space="preserve"> i zgo</w:t>
      </w:r>
      <w:r w:rsidRPr="00431CEE">
        <w:t>dnie</w:t>
      </w:r>
      <w:r w:rsidR="00057488" w:rsidRPr="00431CEE">
        <w:t xml:space="preserve"> z art</w:t>
      </w:r>
      <w:r w:rsidRPr="00431CEE">
        <w:t>.</w:t>
      </w:r>
      <w:r w:rsidR="00057488" w:rsidRPr="00431CEE">
        <w:t> </w:t>
      </w:r>
      <w:r w:rsidRPr="00431CEE">
        <w:t>6 ust.</w:t>
      </w:r>
      <w:r w:rsidR="00057488" w:rsidRPr="00431CEE">
        <w:t> </w:t>
      </w:r>
      <w:r w:rsidRPr="00431CEE">
        <w:t>2 dyrektywy (UE) 2016/798 Komisja udzieliła Agencji Kolejowej Unii Europejskiej („Agencja”) upoważnienia do opracowania projektów zmian</w:t>
      </w:r>
      <w:r w:rsidR="00057488" w:rsidRPr="00431CEE">
        <w:t xml:space="preserve"> w roz</w:t>
      </w:r>
      <w:r w:rsidRPr="00431CEE">
        <w:t>porządzeniach Komisji (UE) nr 1158/2010</w:t>
      </w:r>
      <w:r w:rsidRPr="00431CEE">
        <w:rPr>
          <w:rStyle w:val="FootnoteReference"/>
        </w:rPr>
        <w:footnoteReference w:id="3"/>
      </w:r>
      <w:r w:rsidRPr="00431CEE">
        <w:t>, (UE) nr</w:t>
      </w:r>
      <w:r w:rsidR="00057488" w:rsidRPr="00431CEE">
        <w:t> </w:t>
      </w:r>
      <w:r w:rsidRPr="00431CEE">
        <w:t>1169/2010</w:t>
      </w:r>
      <w:r w:rsidRPr="00431CEE">
        <w:rPr>
          <w:rStyle w:val="FootnoteReference"/>
        </w:rPr>
        <w:footnoteReference w:id="4"/>
      </w:r>
      <w:r w:rsidRPr="00431CEE">
        <w:t xml:space="preserve"> i (UE) nr</w:t>
      </w:r>
      <w:r w:rsidR="00057488" w:rsidRPr="00431CEE">
        <w:t> </w:t>
      </w:r>
      <w:r w:rsidRPr="00431CEE">
        <w:t>1077/2012</w:t>
      </w:r>
      <w:r w:rsidRPr="00431CEE">
        <w:rPr>
          <w:rStyle w:val="FootnoteReference"/>
        </w:rPr>
        <w:footnoteReference w:id="5"/>
      </w:r>
      <w:r w:rsidR="00057488" w:rsidRPr="00431CEE">
        <w:t>. W dni</w:t>
      </w:r>
      <w:r w:rsidRPr="00431CEE">
        <w:t xml:space="preserve">u 9 </w:t>
      </w:r>
      <w:r w:rsidRPr="00431CEE">
        <w:lastRenderedPageBreak/>
        <w:t>marca 2017</w:t>
      </w:r>
      <w:r w:rsidR="00057488" w:rsidRPr="00431CEE">
        <w:t> </w:t>
      </w:r>
      <w:r w:rsidRPr="00431CEE">
        <w:t>r. zgodnie</w:t>
      </w:r>
      <w:r w:rsidR="00057488" w:rsidRPr="00431CEE">
        <w:t xml:space="preserve"> z udz</w:t>
      </w:r>
      <w:r w:rsidRPr="00431CEE">
        <w:t>ielonym przez Komisję upoważnieniem Agencja wydała zalecenie, do którego załączyła sprawozdanie poświęcone wynikom konsultacji przeprowadzonych</w:t>
      </w:r>
      <w:r w:rsidR="00057488" w:rsidRPr="00431CEE">
        <w:t xml:space="preserve"> z kra</w:t>
      </w:r>
      <w:r w:rsidRPr="00431CEE">
        <w:t>jowymi organami ds. bezpieczeństwa, partnerami społecznymi</w:t>
      </w:r>
      <w:r w:rsidR="00057488" w:rsidRPr="00431CEE">
        <w:t xml:space="preserve"> i uży</w:t>
      </w:r>
      <w:r w:rsidRPr="00431CEE">
        <w:t>tkownikami oraz sprawozdanie</w:t>
      </w:r>
      <w:r w:rsidR="00057488" w:rsidRPr="00431CEE">
        <w:t xml:space="preserve"> z oce</w:t>
      </w:r>
      <w:r w:rsidRPr="00431CEE">
        <w:t>ny skutków zmienionych CSM, które miałyby zostać przyjęte. Zgodnie</w:t>
      </w:r>
      <w:r w:rsidR="00057488" w:rsidRPr="00431CEE">
        <w:t xml:space="preserve"> z art</w:t>
      </w:r>
      <w:r w:rsidRPr="00431CEE">
        <w:t>.</w:t>
      </w:r>
      <w:r w:rsidR="00057488" w:rsidRPr="00431CEE">
        <w:t> </w:t>
      </w:r>
      <w:r w:rsidRPr="00431CEE">
        <w:t>6 ust.</w:t>
      </w:r>
      <w:r w:rsidR="00057488" w:rsidRPr="00431CEE">
        <w:t> </w:t>
      </w:r>
      <w:r w:rsidRPr="00431CEE">
        <w:t xml:space="preserve">4 dyrektywy (UE) 2016/798 Komisja przeanalizowała zalecenie wydane przez Agencję, by sprawdzić, czy udzielone upoważnienie zostało zrealizowane. </w:t>
      </w:r>
    </w:p>
    <w:p w:rsidR="006E547D" w:rsidRPr="00431CEE" w:rsidRDefault="006E547D" w:rsidP="006E547D">
      <w:pPr>
        <w:pStyle w:val="Considrant"/>
      </w:pPr>
      <w:r w:rsidRPr="00431CEE">
        <w:t>Po wydaniu jednolitego certyfikatu bezpieczeństwa lub autoryzacji</w:t>
      </w:r>
      <w:r w:rsidR="00057488" w:rsidRPr="00431CEE">
        <w:t xml:space="preserve"> w zak</w:t>
      </w:r>
      <w:r w:rsidRPr="00431CEE">
        <w:t>resie bezpieczeństwa krajowy organ ds. bezpieczeństwa powinien prowadzić działania</w:t>
      </w:r>
      <w:r w:rsidR="00057488" w:rsidRPr="00431CEE">
        <w:t xml:space="preserve"> w zak</w:t>
      </w:r>
      <w:r w:rsidRPr="00431CEE">
        <w:t>resie nadzoru</w:t>
      </w:r>
      <w:r w:rsidR="00057488" w:rsidRPr="00431CEE">
        <w:t xml:space="preserve"> w cel</w:t>
      </w:r>
      <w:r w:rsidRPr="00431CEE">
        <w:t>u weryfikacji, czy system zarządzania bezpieczeństwem jest skutecznie stosowany</w:t>
      </w:r>
      <w:r w:rsidR="00057488" w:rsidRPr="00431CEE">
        <w:t xml:space="preserve"> w tra</w:t>
      </w:r>
      <w:r w:rsidRPr="00431CEE">
        <w:t>kcie prowadzenia działalności oraz czy stale spełniane są wszystkie niezbędne wymogi.</w:t>
      </w:r>
    </w:p>
    <w:p w:rsidR="006E547D" w:rsidRPr="00431CEE" w:rsidRDefault="006E547D" w:rsidP="006E547D">
      <w:pPr>
        <w:pStyle w:val="Considrant"/>
      </w:pPr>
      <w:r w:rsidRPr="00431CEE">
        <w:t>Zgodnie</w:t>
      </w:r>
      <w:r w:rsidR="00057488" w:rsidRPr="00431CEE">
        <w:t xml:space="preserve"> z art</w:t>
      </w:r>
      <w:r w:rsidRPr="00431CEE">
        <w:t>.</w:t>
      </w:r>
      <w:r w:rsidR="00057488" w:rsidRPr="00431CEE">
        <w:t> </w:t>
      </w:r>
      <w:r w:rsidRPr="00431CEE">
        <w:t>17 ust.</w:t>
      </w:r>
      <w:r w:rsidR="00057488" w:rsidRPr="00431CEE">
        <w:t> </w:t>
      </w:r>
      <w:r w:rsidRPr="00431CEE">
        <w:t>1</w:t>
      </w:r>
      <w:r w:rsidR="00057488" w:rsidRPr="00431CEE">
        <w:t xml:space="preserve"> i 8</w:t>
      </w:r>
      <w:r w:rsidRPr="00431CEE">
        <w:t xml:space="preserve"> dyrektywy (UE) 2016/798,</w:t>
      </w:r>
      <w:r w:rsidR="00057488" w:rsidRPr="00431CEE">
        <w:t xml:space="preserve"> w </w:t>
      </w:r>
      <w:proofErr w:type="gramStart"/>
      <w:r w:rsidR="00057488" w:rsidRPr="00431CEE">
        <w:t>prz</w:t>
      </w:r>
      <w:r w:rsidRPr="00431CEE">
        <w:t>ypadku gdy</w:t>
      </w:r>
      <w:proofErr w:type="gramEnd"/>
      <w:r w:rsidRPr="00431CEE">
        <w:t xml:space="preserve"> przedsiębiorstwa kolejowe</w:t>
      </w:r>
      <w:r w:rsidR="00057488" w:rsidRPr="00431CEE">
        <w:t xml:space="preserve"> i zar</w:t>
      </w:r>
      <w:r w:rsidRPr="00431CEE">
        <w:t>ządcy infrastruktury są również podmiotami odpowiedzialnymi za utrzymanie, które nie zostały certyfikowane zgodnie</w:t>
      </w:r>
      <w:r w:rsidR="00057488" w:rsidRPr="00431CEE">
        <w:t xml:space="preserve"> z art</w:t>
      </w:r>
      <w:r w:rsidRPr="00431CEE">
        <w:t>.</w:t>
      </w:r>
      <w:r w:rsidR="00057488" w:rsidRPr="00431CEE">
        <w:t> </w:t>
      </w:r>
      <w:r w:rsidRPr="00431CEE">
        <w:t>14 ust.</w:t>
      </w:r>
      <w:r w:rsidR="00057488" w:rsidRPr="00431CEE">
        <w:t> </w:t>
      </w:r>
      <w:r w:rsidRPr="00431CEE">
        <w:t>4 dyrektywy (UE) 2016/798, działania</w:t>
      </w:r>
      <w:r w:rsidR="00057488" w:rsidRPr="00431CEE">
        <w:t xml:space="preserve"> w zak</w:t>
      </w:r>
      <w:r w:rsidRPr="00431CEE">
        <w:t>resie nadzoru prowadzone przez krajowe organy ds. bezpieczeństwa</w:t>
      </w:r>
      <w:r w:rsidR="00057488" w:rsidRPr="00431CEE">
        <w:t xml:space="preserve"> w cel</w:t>
      </w:r>
      <w:r w:rsidRPr="00431CEE">
        <w:t>u weryfikacji stosowania odpowiednich CSM,</w:t>
      </w:r>
      <w:r w:rsidR="00057488" w:rsidRPr="00431CEE">
        <w:t xml:space="preserve"> o któ</w:t>
      </w:r>
      <w:r w:rsidRPr="00431CEE">
        <w:t>rych mowa</w:t>
      </w:r>
      <w:r w:rsidR="00057488" w:rsidRPr="00431CEE">
        <w:t xml:space="preserve"> w art</w:t>
      </w:r>
      <w:r w:rsidRPr="00431CEE">
        <w:t>.</w:t>
      </w:r>
      <w:r w:rsidR="00057488" w:rsidRPr="00431CEE">
        <w:t> </w:t>
      </w:r>
      <w:r w:rsidRPr="00431CEE">
        <w:t>6 dyrektywy (UE) 2016/798, przez podmioty odpowiedzialne za utrzymanie są uzasadnionym sposobem sprawowania nadzoru nad skutecznością systemów zarządzania bezpieczeństwem stosowanych przez te przedsiębiorstwa kolejowe</w:t>
      </w:r>
      <w:r w:rsidR="00057488" w:rsidRPr="00431CEE">
        <w:t xml:space="preserve"> i tyc</w:t>
      </w:r>
      <w:r w:rsidRPr="00431CEE">
        <w:t>h zarządców infrastruktury.</w:t>
      </w:r>
    </w:p>
    <w:p w:rsidR="006E547D" w:rsidRPr="00431CEE" w:rsidRDefault="006E547D" w:rsidP="006E547D">
      <w:pPr>
        <w:pStyle w:val="Considrant"/>
      </w:pPr>
      <w:r w:rsidRPr="00431CEE">
        <w:t>Należy określić proces nadzoru dla krajowych organów ds. bezpieczeństwa</w:t>
      </w:r>
      <w:r w:rsidR="00057488" w:rsidRPr="00431CEE">
        <w:t xml:space="preserve"> w cel</w:t>
      </w:r>
      <w:r w:rsidRPr="00431CEE">
        <w:t>u zwiększenia wzajemnego zaufania do stosowanego przez nie podejścia do działań</w:t>
      </w:r>
      <w:r w:rsidR="00057488" w:rsidRPr="00431CEE">
        <w:t xml:space="preserve"> w zak</w:t>
      </w:r>
      <w:r w:rsidRPr="00431CEE">
        <w:t>resie nadzoru oraz decyzji podejmowanych</w:t>
      </w:r>
      <w:r w:rsidR="00057488" w:rsidRPr="00431CEE">
        <w:t xml:space="preserve"> w tra</w:t>
      </w:r>
      <w:r w:rsidRPr="00431CEE">
        <w:t>kcie tych działań.</w:t>
      </w:r>
    </w:p>
    <w:p w:rsidR="006E547D" w:rsidRPr="00431CEE" w:rsidRDefault="006E547D" w:rsidP="006E547D">
      <w:pPr>
        <w:pStyle w:val="Considrant"/>
      </w:pPr>
      <w:r w:rsidRPr="00431CEE">
        <w:t>Krajowe organy ds. bezpieczeństwa powinny być odpowiedzialne za swoje decyzje</w:t>
      </w:r>
      <w:r w:rsidR="00057488" w:rsidRPr="00431CEE">
        <w:t xml:space="preserve"> i w zwi</w:t>
      </w:r>
      <w:r w:rsidRPr="00431CEE">
        <w:t>ązku</w:t>
      </w:r>
      <w:r w:rsidR="00057488" w:rsidRPr="00431CEE">
        <w:t xml:space="preserve"> z tym</w:t>
      </w:r>
      <w:r w:rsidRPr="00431CEE">
        <w:t xml:space="preserve"> powinny posiadać wewnętrzne zasady lub procedury, za </w:t>
      </w:r>
      <w:proofErr w:type="gramStart"/>
      <w:r w:rsidRPr="00431CEE">
        <w:t>naruszenia których</w:t>
      </w:r>
      <w:proofErr w:type="gramEnd"/>
      <w:r w:rsidRPr="00431CEE">
        <w:t xml:space="preserve"> mogą zostać pociągnięte do odpowiedzialności.</w:t>
      </w:r>
    </w:p>
    <w:p w:rsidR="006E547D" w:rsidRPr="00431CEE" w:rsidRDefault="006E547D" w:rsidP="006E547D">
      <w:pPr>
        <w:pStyle w:val="Considrant"/>
      </w:pPr>
      <w:r w:rsidRPr="00431CEE">
        <w:t xml:space="preserve">Nadzór powinien być ukierunkowany przede wszystkim na te działania, </w:t>
      </w:r>
      <w:proofErr w:type="gramStart"/>
      <w:r w:rsidRPr="00431CEE">
        <w:t>co do których</w:t>
      </w:r>
      <w:proofErr w:type="gramEnd"/>
      <w:r w:rsidRPr="00431CEE">
        <w:t xml:space="preserve"> krajowe organy ds. bezpieczeństwa są zdania, że stwarzają one najpoważniejsze ryzyko lub związane</w:t>
      </w:r>
      <w:r w:rsidR="00057488" w:rsidRPr="00431CEE">
        <w:t xml:space="preserve"> z nim</w:t>
      </w:r>
      <w:r w:rsidRPr="00431CEE">
        <w:t>i ryzyko jest</w:t>
      </w:r>
      <w:r w:rsidR="00057488" w:rsidRPr="00431CEE">
        <w:t xml:space="preserve"> w naj</w:t>
      </w:r>
      <w:r w:rsidRPr="00431CEE">
        <w:t>mniejszym stopniu pod kontrolą</w:t>
      </w:r>
      <w:r w:rsidR="00057488" w:rsidRPr="00431CEE">
        <w:t>. W tym</w:t>
      </w:r>
      <w:r w:rsidRPr="00431CEE">
        <w:t xml:space="preserve"> celu krajowy organ ds. bezpieczeństwa powinien opracować</w:t>
      </w:r>
      <w:r w:rsidR="00057488" w:rsidRPr="00431CEE">
        <w:t xml:space="preserve"> i wdr</w:t>
      </w:r>
      <w:r w:rsidRPr="00431CEE">
        <w:t>ożyć oparte na ryzyku strategię oraz plan (plany) nadzoru, określające metody ukierunkowania jego działań</w:t>
      </w:r>
      <w:r w:rsidR="00057488" w:rsidRPr="00431CEE">
        <w:t xml:space="preserve"> w zak</w:t>
      </w:r>
      <w:r w:rsidRPr="00431CEE">
        <w:t>resie nadzoru</w:t>
      </w:r>
      <w:r w:rsidR="00057488" w:rsidRPr="00431CEE">
        <w:t xml:space="preserve"> i wyz</w:t>
      </w:r>
      <w:r w:rsidRPr="00431CEE">
        <w:t>naczania priorytetów</w:t>
      </w:r>
      <w:r w:rsidR="00057488" w:rsidRPr="00431CEE">
        <w:t xml:space="preserve"> w zak</w:t>
      </w:r>
      <w:r w:rsidRPr="00431CEE">
        <w:t>resie nadzoru.</w:t>
      </w:r>
    </w:p>
    <w:p w:rsidR="006E547D" w:rsidRPr="00431CEE" w:rsidRDefault="006E547D" w:rsidP="006E547D">
      <w:pPr>
        <w:pStyle w:val="Considrant"/>
      </w:pPr>
      <w:r w:rsidRPr="00431CEE">
        <w:t>Działania</w:t>
      </w:r>
      <w:r w:rsidR="00057488" w:rsidRPr="00431CEE">
        <w:t xml:space="preserve"> w zak</w:t>
      </w:r>
      <w:r w:rsidRPr="00431CEE">
        <w:t>resie egzekwowania prawa podejmowane przez krajowe organy ds. bezpieczeństwa</w:t>
      </w:r>
      <w:r w:rsidR="00057488" w:rsidRPr="00431CEE">
        <w:t xml:space="preserve"> w cel</w:t>
      </w:r>
      <w:r w:rsidRPr="00431CEE">
        <w:t>u zapewnienia, by przedsiębiorstwa kolejowe</w:t>
      </w:r>
      <w:r w:rsidR="00057488" w:rsidRPr="00431CEE">
        <w:t xml:space="preserve"> i zar</w:t>
      </w:r>
      <w:r w:rsidRPr="00431CEE">
        <w:t>ządcy infrastruktury osiągnęli zgodność</w:t>
      </w:r>
      <w:r w:rsidR="00057488" w:rsidRPr="00431CEE">
        <w:t xml:space="preserve"> z prz</w:t>
      </w:r>
      <w:r w:rsidRPr="00431CEE">
        <w:t>episami,</w:t>
      </w:r>
      <w:r w:rsidR="00057488" w:rsidRPr="00431CEE">
        <w:t xml:space="preserve"> o któ</w:t>
      </w:r>
      <w:r w:rsidRPr="00431CEE">
        <w:t>rej mowa</w:t>
      </w:r>
      <w:r w:rsidR="00057488" w:rsidRPr="00431CEE">
        <w:t xml:space="preserve"> w art</w:t>
      </w:r>
      <w:r w:rsidRPr="00431CEE">
        <w:t>.</w:t>
      </w:r>
      <w:r w:rsidR="00057488" w:rsidRPr="00431CEE">
        <w:t> </w:t>
      </w:r>
      <w:r w:rsidRPr="00431CEE">
        <w:t>17 ust.</w:t>
      </w:r>
      <w:r w:rsidR="00057488" w:rsidRPr="00431CEE">
        <w:t> </w:t>
      </w:r>
      <w:r w:rsidRPr="00431CEE">
        <w:t>1 dyrektywy (UE) 2016/798, powinny być proporcjonalne do ewentualnych zagrożeń dla bezpieczeństwa lub do potencjalnej wagi każdego przypadku nieprzestrzegania spoczywających na nich obowiązków prawnych.</w:t>
      </w:r>
    </w:p>
    <w:p w:rsidR="006E547D" w:rsidRPr="00431CEE" w:rsidRDefault="006E547D" w:rsidP="006E547D">
      <w:pPr>
        <w:pStyle w:val="Considrant"/>
      </w:pPr>
      <w:r w:rsidRPr="00431CEE">
        <w:t>Aby móc wykonywać swoje zadania zgodnie</w:t>
      </w:r>
      <w:r w:rsidR="00057488" w:rsidRPr="00431CEE">
        <w:t xml:space="preserve"> z art</w:t>
      </w:r>
      <w:r w:rsidRPr="00431CEE">
        <w:t>.</w:t>
      </w:r>
      <w:r w:rsidR="00057488" w:rsidRPr="00431CEE">
        <w:t> </w:t>
      </w:r>
      <w:r w:rsidRPr="00431CEE">
        <w:t>16 ust.</w:t>
      </w:r>
      <w:r w:rsidR="00057488" w:rsidRPr="00431CEE">
        <w:t> </w:t>
      </w:r>
      <w:r w:rsidRPr="00431CEE">
        <w:t>2 lit.</w:t>
      </w:r>
      <w:r w:rsidR="00057488" w:rsidRPr="00431CEE">
        <w:t> </w:t>
      </w:r>
      <w:r w:rsidRPr="00431CEE">
        <w:t>i) dyrektywy (UE) 2016/798, krajowy organ ds. bezpieczeństwa powinien,</w:t>
      </w:r>
      <w:r w:rsidR="00057488" w:rsidRPr="00431CEE">
        <w:t xml:space="preserve"> w opa</w:t>
      </w:r>
      <w:r w:rsidRPr="00431CEE">
        <w:t>rciu</w:t>
      </w:r>
      <w:r w:rsidR="00057488" w:rsidRPr="00431CEE">
        <w:t xml:space="preserve"> o wyn</w:t>
      </w:r>
      <w:r w:rsidRPr="00431CEE">
        <w:t>iki swoich działań</w:t>
      </w:r>
      <w:r w:rsidR="00057488" w:rsidRPr="00431CEE">
        <w:t xml:space="preserve"> w zak</w:t>
      </w:r>
      <w:r w:rsidRPr="00431CEE">
        <w:t>resie nadzoru, sformułować opinię na temat skuteczności ram regulacyjnych</w:t>
      </w:r>
      <w:r w:rsidR="00057488" w:rsidRPr="00431CEE">
        <w:t xml:space="preserve"> w zak</w:t>
      </w:r>
      <w:r w:rsidRPr="00431CEE">
        <w:t>resie bezpieczeństwa.</w:t>
      </w:r>
    </w:p>
    <w:p w:rsidR="006E547D" w:rsidRPr="00431CEE" w:rsidRDefault="006E547D" w:rsidP="006E547D">
      <w:pPr>
        <w:pStyle w:val="Considrant"/>
      </w:pPr>
      <w:r w:rsidRPr="00431CEE">
        <w:lastRenderedPageBreak/>
        <w:t>Techniki audytu</w:t>
      </w:r>
      <w:r w:rsidR="00057488" w:rsidRPr="00431CEE">
        <w:t xml:space="preserve"> i kon</w:t>
      </w:r>
      <w:r w:rsidRPr="00431CEE">
        <w:t>troli do celów nadzoru powinny zazwyczaj obejmować rozmowy</w:t>
      </w:r>
      <w:r w:rsidR="00057488" w:rsidRPr="00431CEE">
        <w:t xml:space="preserve"> z oso</w:t>
      </w:r>
      <w:r w:rsidRPr="00431CEE">
        <w:t>bami pracującymi na różnych szczeblach organizacji, przeglądanie dokumentów</w:t>
      </w:r>
      <w:r w:rsidR="00057488" w:rsidRPr="00431CEE">
        <w:t xml:space="preserve"> i rej</w:t>
      </w:r>
      <w:r w:rsidRPr="00431CEE">
        <w:t>estrów dotyczących systemu zarządzania bezpieczeństwem oraz badanie rezultatów systemu zarządzania dotyczących bezpieczeństwa ujawnionych</w:t>
      </w:r>
      <w:r w:rsidR="00057488" w:rsidRPr="00431CEE">
        <w:t xml:space="preserve"> w wyn</w:t>
      </w:r>
      <w:r w:rsidRPr="00431CEE">
        <w:t>iku kontroli lub powiązanych działań.</w:t>
      </w:r>
    </w:p>
    <w:p w:rsidR="006E547D" w:rsidRPr="00431CEE" w:rsidRDefault="006E547D" w:rsidP="006E547D">
      <w:pPr>
        <w:pStyle w:val="Considrant"/>
      </w:pPr>
      <w:r w:rsidRPr="00431CEE">
        <w:t>Zgodnie</w:t>
      </w:r>
      <w:r w:rsidR="00057488" w:rsidRPr="00431CEE">
        <w:t xml:space="preserve"> z art</w:t>
      </w:r>
      <w:r w:rsidRPr="00431CEE">
        <w:t>.</w:t>
      </w:r>
      <w:r w:rsidR="00057488" w:rsidRPr="00431CEE">
        <w:t> </w:t>
      </w:r>
      <w:r w:rsidRPr="00431CEE">
        <w:t>17 ust.</w:t>
      </w:r>
      <w:r w:rsidR="00057488" w:rsidRPr="00431CEE">
        <w:t> </w:t>
      </w:r>
      <w:r w:rsidRPr="00431CEE">
        <w:t>13 dyrektywy (UE) 2016/798 Agencja, działając</w:t>
      </w:r>
      <w:r w:rsidR="00057488" w:rsidRPr="00431CEE">
        <w:t xml:space="preserve"> w cha</w:t>
      </w:r>
      <w:r w:rsidRPr="00431CEE">
        <w:t>rakterze organu ds. certyfikacji</w:t>
      </w:r>
      <w:r w:rsidR="00057488" w:rsidRPr="00431CEE">
        <w:t xml:space="preserve"> w zak</w:t>
      </w:r>
      <w:r w:rsidRPr="00431CEE">
        <w:t>resie bezpieczeństwa, oraz krajowe organy ds. bezpieczeństwa powinny</w:t>
      </w:r>
      <w:r w:rsidR="00057488" w:rsidRPr="00431CEE">
        <w:t xml:space="preserve"> w sto</w:t>
      </w:r>
      <w:r w:rsidRPr="00431CEE">
        <w:t>sownych przypadkach koordynować swoje działania</w:t>
      </w:r>
      <w:r w:rsidR="00057488" w:rsidRPr="00431CEE">
        <w:t xml:space="preserve"> w cel</w:t>
      </w:r>
      <w:r w:rsidRPr="00431CEE">
        <w:t>u zapewnienia pełnej wymiany informacji zgromadzonych zarówno</w:t>
      </w:r>
      <w:r w:rsidR="00057488" w:rsidRPr="00431CEE">
        <w:t xml:space="preserve"> w tra</w:t>
      </w:r>
      <w:r w:rsidRPr="00431CEE">
        <w:t>kcie działań</w:t>
      </w:r>
      <w:r w:rsidR="00057488" w:rsidRPr="00431CEE">
        <w:t xml:space="preserve"> w zak</w:t>
      </w:r>
      <w:r w:rsidRPr="00431CEE">
        <w:t>resie oceny, jak</w:t>
      </w:r>
      <w:r w:rsidR="00057488" w:rsidRPr="00431CEE">
        <w:t xml:space="preserve"> i dzi</w:t>
      </w:r>
      <w:r w:rsidRPr="00431CEE">
        <w:t>ałań</w:t>
      </w:r>
      <w:r w:rsidR="00057488" w:rsidRPr="00431CEE">
        <w:t xml:space="preserve"> w zak</w:t>
      </w:r>
      <w:r w:rsidRPr="00431CEE">
        <w:t>resie nadzoru,</w:t>
      </w:r>
      <w:r w:rsidR="00057488" w:rsidRPr="00431CEE">
        <w:t xml:space="preserve"> w tym</w:t>
      </w:r>
      <w:r w:rsidRPr="00431CEE">
        <w:t xml:space="preserve"> wszelkich ostrzeżeń skierowanych do przedsiębiorstw kolejowych</w:t>
      </w:r>
      <w:r w:rsidR="00057488" w:rsidRPr="00431CEE">
        <w:t>. W pod</w:t>
      </w:r>
      <w:r w:rsidRPr="00431CEE">
        <w:t>obny sposób właściwe krajowe organy ds. bezpieczeństwa powinny koordynować swoje działania</w:t>
      </w:r>
      <w:r w:rsidR="00057488" w:rsidRPr="00431CEE">
        <w:t xml:space="preserve"> w prz</w:t>
      </w:r>
      <w:r w:rsidRPr="00431CEE">
        <w:t>ypadku infrastruktury mającej charakter transgraniczny.</w:t>
      </w:r>
      <w:r w:rsidRPr="00431CEE">
        <w:rPr>
          <w:i/>
          <w:highlight w:val="yellow"/>
        </w:rPr>
        <w:t xml:space="preserve"> </w:t>
      </w:r>
    </w:p>
    <w:p w:rsidR="006E547D" w:rsidRPr="00431CEE" w:rsidRDefault="006E547D" w:rsidP="006E547D">
      <w:pPr>
        <w:pStyle w:val="Considrant"/>
      </w:pPr>
      <w:r w:rsidRPr="00431CEE">
        <w:t>Aby zapewnić skuteczne prowadzenie nadzoru przez krajowe organy ds. bezpieczeństwa oraz zwiększyć ich wzajemne zaufanie, organy te powinny zapewnić, aby personel zaangażowany</w:t>
      </w:r>
      <w:r w:rsidR="00057488" w:rsidRPr="00431CEE">
        <w:t xml:space="preserve"> w nad</w:t>
      </w:r>
      <w:r w:rsidRPr="00431CEE">
        <w:t>zór posiadał niezbędne kompetencje</w:t>
      </w:r>
      <w:r w:rsidR="00057488" w:rsidRPr="00431CEE">
        <w:t>. W tym</w:t>
      </w:r>
      <w:r w:rsidRPr="00431CEE">
        <w:t xml:space="preserve"> celu należy określić te kompetencje.</w:t>
      </w:r>
    </w:p>
    <w:p w:rsidR="006E547D" w:rsidRPr="00431CEE" w:rsidRDefault="006E547D" w:rsidP="006E547D">
      <w:pPr>
        <w:pStyle w:val="Considrant"/>
      </w:pPr>
      <w:r w:rsidRPr="00431CEE">
        <w:t>Krajowe organy ds. bezpieczeństwa zaangażowane</w:t>
      </w:r>
      <w:r w:rsidR="00057488" w:rsidRPr="00431CEE">
        <w:t xml:space="preserve"> w nad</w:t>
      </w:r>
      <w:r w:rsidRPr="00431CEE">
        <w:t>zór nad zarządcą infrastruktury mającej charakter transgraniczny lub nad przedsiębiorstwem kolejowym działającym</w:t>
      </w:r>
      <w:r w:rsidR="00057488" w:rsidRPr="00431CEE">
        <w:t xml:space="preserve"> w wię</w:t>
      </w:r>
      <w:r w:rsidRPr="00431CEE">
        <w:t>cej niż jednym państwie członkowskim powinny ze sobą współpracować, aby uniknąć powielania działań</w:t>
      </w:r>
      <w:r w:rsidR="00057488" w:rsidRPr="00431CEE">
        <w:t xml:space="preserve"> w zak</w:t>
      </w:r>
      <w:r w:rsidRPr="00431CEE">
        <w:t>resie nadzoru,</w:t>
      </w:r>
      <w:r w:rsidR="00057488" w:rsidRPr="00431CEE">
        <w:t xml:space="preserve"> a tak</w:t>
      </w:r>
      <w:r w:rsidRPr="00431CEE">
        <w:t xml:space="preserve">że koordynować swoje podejścia do nadzoru, </w:t>
      </w:r>
      <w:proofErr w:type="gramStart"/>
      <w:r w:rsidRPr="00431CEE">
        <w:t>tak aby</w:t>
      </w:r>
      <w:proofErr w:type="gramEnd"/>
      <w:r w:rsidRPr="00431CEE">
        <w:t xml:space="preserve"> zapewnić wymianę wszystkich kluczowych informacji dotyczących zarządcy infrastruktury lub przedsiębiorstwa kolejowego,</w:t>
      </w:r>
      <w:r w:rsidR="00057488" w:rsidRPr="00431CEE">
        <w:t xml:space="preserve"> w szc</w:t>
      </w:r>
      <w:r w:rsidRPr="00431CEE">
        <w:t>zególności</w:t>
      </w:r>
      <w:r w:rsidR="00057488" w:rsidRPr="00431CEE">
        <w:t xml:space="preserve"> w odn</w:t>
      </w:r>
      <w:r w:rsidRPr="00431CEE">
        <w:t xml:space="preserve">iesieniu do znanych </w:t>
      </w:r>
      <w:proofErr w:type="spellStart"/>
      <w:r w:rsidRPr="00431CEE">
        <w:t>ryzyk</w:t>
      </w:r>
      <w:proofErr w:type="spellEnd"/>
      <w:r w:rsidR="00057488" w:rsidRPr="00431CEE">
        <w:t xml:space="preserve"> i jeg</w:t>
      </w:r>
      <w:r w:rsidRPr="00431CEE">
        <w:t>o wyników</w:t>
      </w:r>
      <w:r w:rsidR="00057488" w:rsidRPr="00431CEE">
        <w:t xml:space="preserve"> w zak</w:t>
      </w:r>
      <w:r w:rsidRPr="00431CEE">
        <w:t>resie bezpieczeństwa, oraz zapewnić wykorzystywanie tych informacji</w:t>
      </w:r>
      <w:r w:rsidR="00057488" w:rsidRPr="00431CEE">
        <w:t xml:space="preserve"> w cel</w:t>
      </w:r>
      <w:r w:rsidRPr="00431CEE">
        <w:t>u ukierunkowania działań</w:t>
      </w:r>
      <w:r w:rsidR="00057488" w:rsidRPr="00431CEE">
        <w:t xml:space="preserve"> w zak</w:t>
      </w:r>
      <w:r w:rsidRPr="00431CEE">
        <w:t>resie nadzoru na obszary</w:t>
      </w:r>
      <w:r w:rsidR="00057488" w:rsidRPr="00431CEE">
        <w:t xml:space="preserve"> o naj</w:t>
      </w:r>
      <w:r w:rsidRPr="00431CEE">
        <w:t>większym poziomie ryzyka dla całej prowadzonej działalności.</w:t>
      </w:r>
    </w:p>
    <w:p w:rsidR="006E547D" w:rsidRPr="00431CEE" w:rsidRDefault="006E547D" w:rsidP="006E547D">
      <w:pPr>
        <w:pStyle w:val="Considrant"/>
      </w:pPr>
      <w:r w:rsidRPr="00431CEE">
        <w:t>Krajowe organy ds. bezpieczeństwa powinny</w:t>
      </w:r>
      <w:r w:rsidR="00057488" w:rsidRPr="00431CEE">
        <w:t xml:space="preserve"> w sto</w:t>
      </w:r>
      <w:r w:rsidRPr="00431CEE">
        <w:t>sownych przypadkach współpracować</w:t>
      </w:r>
      <w:r w:rsidR="00057488" w:rsidRPr="00431CEE">
        <w:t xml:space="preserve"> z inn</w:t>
      </w:r>
      <w:r w:rsidRPr="00431CEE">
        <w:t>ymi właściwymi organami lub podmiotami działającymi</w:t>
      </w:r>
      <w:r w:rsidR="00057488" w:rsidRPr="00431CEE">
        <w:t xml:space="preserve"> w sek</w:t>
      </w:r>
      <w:r w:rsidRPr="00431CEE">
        <w:t>torze kolejowym, takimi jak organy regulacyjne</w:t>
      </w:r>
      <w:r w:rsidR="00057488" w:rsidRPr="00431CEE">
        <w:t xml:space="preserve"> i org</w:t>
      </w:r>
      <w:r w:rsidRPr="00431CEE">
        <w:t>any wydające licencje</w:t>
      </w:r>
      <w:r w:rsidR="00057488" w:rsidRPr="00431CEE">
        <w:t xml:space="preserve"> w roz</w:t>
      </w:r>
      <w:r w:rsidRPr="00431CEE">
        <w:t>umieniu dyrektywy Parlamentu Europejskiego</w:t>
      </w:r>
      <w:r w:rsidR="00057488" w:rsidRPr="00431CEE">
        <w:t xml:space="preserve"> i Rad</w:t>
      </w:r>
      <w:r w:rsidRPr="00431CEE">
        <w:t>y 2012/34/UE</w:t>
      </w:r>
      <w:r w:rsidRPr="00431CEE">
        <w:rPr>
          <w:rStyle w:val="FootnoteReference"/>
        </w:rPr>
        <w:footnoteReference w:id="6"/>
      </w:r>
      <w:r w:rsidRPr="00431CEE">
        <w:t xml:space="preserve"> lub organy właściwe</w:t>
      </w:r>
      <w:r w:rsidR="00057488" w:rsidRPr="00431CEE">
        <w:t xml:space="preserve"> w zak</w:t>
      </w:r>
      <w:r w:rsidRPr="00431CEE">
        <w:t>resie monitorowania zgodności</w:t>
      </w:r>
      <w:r w:rsidR="00057488" w:rsidRPr="00431CEE">
        <w:t xml:space="preserve"> z maj</w:t>
      </w:r>
      <w:r w:rsidRPr="00431CEE">
        <w:t>ącymi zastosowanie przepisami dotyczącymi czasu pracy, jazdy</w:t>
      </w:r>
      <w:r w:rsidR="00057488" w:rsidRPr="00431CEE">
        <w:t xml:space="preserve"> i odp</w:t>
      </w:r>
      <w:r w:rsidRPr="00431CEE">
        <w:t xml:space="preserve">oczynku maszynistów, </w:t>
      </w:r>
      <w:proofErr w:type="gramStart"/>
      <w:r w:rsidRPr="00431CEE">
        <w:t>tak aby</w:t>
      </w:r>
      <w:proofErr w:type="gramEnd"/>
      <w:r w:rsidRPr="00431CEE">
        <w:t xml:space="preserve"> wywiązywać się</w:t>
      </w:r>
      <w:r w:rsidR="00057488" w:rsidRPr="00431CEE">
        <w:t xml:space="preserve"> z nał</w:t>
      </w:r>
      <w:r w:rsidRPr="00431CEE">
        <w:t>ożonych na nie obowiązków, wymieniać informacje, rozwiązywać wszelkie konflikty między stosowanymi podejściami, zapobiegać powiązanym niekorzystnym skutkom dla systemu kolei oraz koordynować swoje reakcje na wszelkie przypadki nieprzestrzegania ram regulacyjnych dotyczących bezpieczeństwa.</w:t>
      </w:r>
    </w:p>
    <w:p w:rsidR="006E547D" w:rsidRPr="00431CEE" w:rsidRDefault="006E547D" w:rsidP="006E547D">
      <w:pPr>
        <w:pStyle w:val="Considrant"/>
      </w:pPr>
      <w:r w:rsidRPr="00431CEE">
        <w:t>Zgodnie</w:t>
      </w:r>
      <w:r w:rsidR="00057488" w:rsidRPr="00431CEE">
        <w:t xml:space="preserve"> z art</w:t>
      </w:r>
      <w:r w:rsidRPr="00431CEE">
        <w:t>.</w:t>
      </w:r>
      <w:r w:rsidR="00057488" w:rsidRPr="00431CEE">
        <w:t> </w:t>
      </w:r>
      <w:r w:rsidRPr="00431CEE">
        <w:t>31 ust.</w:t>
      </w:r>
      <w:r w:rsidR="00057488" w:rsidRPr="00431CEE">
        <w:t> </w:t>
      </w:r>
      <w:r w:rsidRPr="00431CEE">
        <w:t>3 dyrektywy (UE) 2016/798 nowy system certyfikacji bezpieczeństwa zacznie działać od dnia 16 czerwca 2019</w:t>
      </w:r>
      <w:r w:rsidR="00057488" w:rsidRPr="00431CEE">
        <w:t> </w:t>
      </w:r>
      <w:r w:rsidRPr="00431CEE">
        <w:t>r. Państwa członkowskie mają jednak możliwość powiadomienia Agencji</w:t>
      </w:r>
      <w:r w:rsidR="00057488" w:rsidRPr="00431CEE">
        <w:t xml:space="preserve"> i Kom</w:t>
      </w:r>
      <w:r w:rsidRPr="00431CEE">
        <w:t>isji zgodnie</w:t>
      </w:r>
      <w:r w:rsidR="00057488" w:rsidRPr="00431CEE">
        <w:t xml:space="preserve"> z art</w:t>
      </w:r>
      <w:r w:rsidRPr="00431CEE">
        <w:t>.</w:t>
      </w:r>
      <w:r w:rsidR="00057488" w:rsidRPr="00431CEE">
        <w:t> </w:t>
      </w:r>
      <w:r w:rsidRPr="00431CEE">
        <w:t>33 ust.</w:t>
      </w:r>
      <w:r w:rsidR="00057488" w:rsidRPr="00431CEE">
        <w:t> </w:t>
      </w:r>
      <w:r w:rsidRPr="00431CEE">
        <w:t>2 dyrektywy (UE) 2016/798, że przedłużyły okres transpozycji</w:t>
      </w:r>
      <w:r w:rsidR="00057488" w:rsidRPr="00431CEE">
        <w:t xml:space="preserve"> i mog</w:t>
      </w:r>
      <w:r w:rsidRPr="00431CEE">
        <w:t>ą</w:t>
      </w:r>
      <w:r w:rsidR="00057488" w:rsidRPr="00431CEE">
        <w:t xml:space="preserve"> w zwi</w:t>
      </w:r>
      <w:r w:rsidRPr="00431CEE">
        <w:t>ązku</w:t>
      </w:r>
      <w:r w:rsidR="00057488" w:rsidRPr="00431CEE">
        <w:t xml:space="preserve"> z tym</w:t>
      </w:r>
      <w:r w:rsidRPr="00431CEE">
        <w:t xml:space="preserve"> nadal wydawać certyfikaty zgodnie</w:t>
      </w:r>
      <w:r w:rsidR="00057488" w:rsidRPr="00431CEE">
        <w:t xml:space="preserve"> z dyr</w:t>
      </w:r>
      <w:r w:rsidRPr="00431CEE">
        <w:t>ektywą 2004/49/WE Parlamentu Europejskiego</w:t>
      </w:r>
      <w:r w:rsidR="00057488" w:rsidRPr="00431CEE">
        <w:t xml:space="preserve"> i Rad</w:t>
      </w:r>
      <w:r w:rsidRPr="00431CEE">
        <w:t>y</w:t>
      </w:r>
      <w:r w:rsidRPr="00431CEE">
        <w:rPr>
          <w:rStyle w:val="FootnoteReference"/>
        </w:rPr>
        <w:footnoteReference w:id="7"/>
      </w:r>
      <w:r w:rsidRPr="00431CEE">
        <w:t xml:space="preserve"> do dnia 16 czerwca 2020</w:t>
      </w:r>
      <w:r w:rsidR="00057488" w:rsidRPr="00431CEE">
        <w:t> </w:t>
      </w:r>
      <w:r w:rsidRPr="00431CEE">
        <w:t xml:space="preserve">r. Konieczne </w:t>
      </w:r>
      <w:proofErr w:type="gramStart"/>
      <w:r w:rsidRPr="00431CEE">
        <w:t>jest zatem</w:t>
      </w:r>
      <w:proofErr w:type="gramEnd"/>
      <w:r w:rsidRPr="00431CEE">
        <w:t xml:space="preserve"> dostosowanie </w:t>
      </w:r>
      <w:r w:rsidRPr="00431CEE">
        <w:lastRenderedPageBreak/>
        <w:t>dat rozpoczęcia stosowania niniejszego rozporządzenia do dat określonych</w:t>
      </w:r>
      <w:r w:rsidR="00057488" w:rsidRPr="00431CEE">
        <w:t xml:space="preserve"> w dyr</w:t>
      </w:r>
      <w:r w:rsidRPr="00431CEE">
        <w:t>ektywie (UE) 2016/798</w:t>
      </w:r>
      <w:r w:rsidR="00057488" w:rsidRPr="00431CEE">
        <w:t xml:space="preserve"> w cel</w:t>
      </w:r>
      <w:r w:rsidRPr="00431CEE">
        <w:t>u umożliwienia sprawnego przejścia na nowy system certyfikacji.</w:t>
      </w:r>
    </w:p>
    <w:p w:rsidR="006E547D" w:rsidRPr="00431CEE" w:rsidRDefault="006E547D" w:rsidP="006E547D">
      <w:pPr>
        <w:pStyle w:val="Considrant"/>
      </w:pPr>
      <w:r w:rsidRPr="00431CEE">
        <w:t>Rozporządzenie (UE) nr</w:t>
      </w:r>
      <w:r w:rsidR="00057488" w:rsidRPr="00431CEE">
        <w:t> </w:t>
      </w:r>
      <w:r w:rsidRPr="00431CEE">
        <w:t>1077/2012 stało się nieaktualne</w:t>
      </w:r>
      <w:r w:rsidR="00057488" w:rsidRPr="00431CEE">
        <w:t xml:space="preserve"> i nal</w:t>
      </w:r>
      <w:r w:rsidRPr="00431CEE">
        <w:t>eży je zastąpić niniejszym rozporządzeniem,</w:t>
      </w:r>
    </w:p>
    <w:p w:rsidR="006E547D" w:rsidRPr="00431CEE" w:rsidRDefault="006E547D" w:rsidP="009343DF">
      <w:pPr>
        <w:pStyle w:val="Formuledadoption"/>
      </w:pPr>
      <w:r w:rsidRPr="00431CEE">
        <w:t>PRZYJMUJE NINIEJSZE ROZPORZĄDZENIE:</w:t>
      </w:r>
    </w:p>
    <w:p w:rsidR="006E547D" w:rsidRPr="00431CEE" w:rsidRDefault="006E547D" w:rsidP="006E547D">
      <w:pPr>
        <w:pStyle w:val="Titrearticle"/>
      </w:pPr>
      <w:r w:rsidRPr="00431CEE">
        <w:t>Artykuł 1</w:t>
      </w:r>
    </w:p>
    <w:p w:rsidR="006E547D" w:rsidRPr="00431CEE" w:rsidRDefault="006E547D" w:rsidP="006E547D">
      <w:pPr>
        <w:pStyle w:val="NormalCentered"/>
        <w:rPr>
          <w:b/>
          <w:bCs/>
        </w:rPr>
      </w:pPr>
      <w:r w:rsidRPr="00431CEE">
        <w:rPr>
          <w:b/>
        </w:rPr>
        <w:t>Przedmiot</w:t>
      </w:r>
    </w:p>
    <w:p w:rsidR="006E547D" w:rsidRPr="00431CEE" w:rsidRDefault="006E547D" w:rsidP="006E547D">
      <w:r w:rsidRPr="00431CEE">
        <w:t>Niniejsze rozporządzenie ustanawia wspólne metody oceny bezpieczeństwa (CSM),</w:t>
      </w:r>
      <w:r w:rsidR="00057488" w:rsidRPr="00431CEE">
        <w:t xml:space="preserve"> o któ</w:t>
      </w:r>
      <w:r w:rsidRPr="00431CEE">
        <w:t>rych mowa</w:t>
      </w:r>
      <w:r w:rsidR="00057488" w:rsidRPr="00431CEE">
        <w:t xml:space="preserve"> w art</w:t>
      </w:r>
      <w:r w:rsidRPr="00431CEE">
        <w:t>.</w:t>
      </w:r>
      <w:r w:rsidR="00057488" w:rsidRPr="00431CEE">
        <w:t> </w:t>
      </w:r>
      <w:r w:rsidRPr="00431CEE">
        <w:t>6 ust.</w:t>
      </w:r>
      <w:r w:rsidR="00057488" w:rsidRPr="00431CEE">
        <w:t> </w:t>
      </w:r>
      <w:r w:rsidRPr="00431CEE">
        <w:t>1 lit.</w:t>
      </w:r>
      <w:r w:rsidR="00057488" w:rsidRPr="00431CEE">
        <w:t> </w:t>
      </w:r>
      <w:r w:rsidRPr="00431CEE">
        <w:t>c) dyrektywy (UE) 2016/798,</w:t>
      </w:r>
      <w:r w:rsidR="00057488" w:rsidRPr="00431CEE">
        <w:t xml:space="preserve"> w odn</w:t>
      </w:r>
      <w:r w:rsidRPr="00431CEE">
        <w:t>iesieniu do nadzoru nad zarządzaniem bezpieczeństwem przez przedsiębiorstwa kolejowe</w:t>
      </w:r>
      <w:r w:rsidR="00057488" w:rsidRPr="00431CEE">
        <w:t xml:space="preserve"> i zar</w:t>
      </w:r>
      <w:r w:rsidRPr="00431CEE">
        <w:t>ządców infrastruktury, sprawowanego przez krajowe organy ds. bezpieczeństwa po wydaniu jednolitego certyfikatu bezpieczeństwa względnie autoryzacji</w:t>
      </w:r>
      <w:r w:rsidR="00057488" w:rsidRPr="00431CEE">
        <w:t xml:space="preserve"> w zak</w:t>
      </w:r>
      <w:r w:rsidRPr="00431CEE">
        <w:t>resie bezpieczeństwa.</w:t>
      </w:r>
    </w:p>
    <w:p w:rsidR="006E547D" w:rsidRPr="00431CEE" w:rsidRDefault="006E547D" w:rsidP="006E547D">
      <w:pPr>
        <w:pStyle w:val="Titrearticle"/>
      </w:pPr>
      <w:r w:rsidRPr="00431CEE">
        <w:t>Artykuł 2</w:t>
      </w:r>
    </w:p>
    <w:p w:rsidR="006E547D" w:rsidRPr="00431CEE" w:rsidRDefault="006E547D" w:rsidP="00A07C5C">
      <w:pPr>
        <w:pStyle w:val="NormalCentered"/>
        <w:keepNext/>
        <w:rPr>
          <w:b/>
          <w:bCs/>
        </w:rPr>
      </w:pPr>
      <w:r w:rsidRPr="00431CEE">
        <w:rPr>
          <w:b/>
        </w:rPr>
        <w:t>Definicja</w:t>
      </w:r>
    </w:p>
    <w:p w:rsidR="006E547D" w:rsidRPr="00431CEE" w:rsidRDefault="006E547D" w:rsidP="00A07C5C">
      <w:r w:rsidRPr="00431CEE">
        <w:t xml:space="preserve">Do celów niniejszego rozporządzenia stosuje się następujące definicje: </w:t>
      </w:r>
    </w:p>
    <w:p w:rsidR="006E547D" w:rsidRPr="00431CEE" w:rsidRDefault="000154BA" w:rsidP="000154BA">
      <w:pPr>
        <w:pStyle w:val="Point0"/>
      </w:pPr>
      <w:r w:rsidRPr="00431CEE">
        <w:t>a</w:t>
      </w:r>
      <w:proofErr w:type="gramStart"/>
      <w:r w:rsidRPr="00431CEE">
        <w:t>)</w:t>
      </w:r>
      <w:r w:rsidRPr="00431CEE">
        <w:tab/>
      </w:r>
      <w:r w:rsidR="006E547D" w:rsidRPr="00431CEE">
        <w:t>„organ</w:t>
      </w:r>
      <w:proofErr w:type="gramEnd"/>
      <w:r w:rsidR="006E547D" w:rsidRPr="00431CEE">
        <w:t xml:space="preserve"> ds. certyfikacji</w:t>
      </w:r>
      <w:r w:rsidR="00057488" w:rsidRPr="00431CEE">
        <w:t xml:space="preserve"> w zak</w:t>
      </w:r>
      <w:r w:rsidR="006E547D" w:rsidRPr="00431CEE">
        <w:t>resie bezpieczeństwa” oznacza organ odpowiedzialny za wydawanie jednolitych certyfikatów bezpieczeństwa, czyli Agencję albo krajowy organ ds. bezpieczeństwa;</w:t>
      </w:r>
    </w:p>
    <w:p w:rsidR="006E547D" w:rsidRPr="00431CEE" w:rsidRDefault="000154BA" w:rsidP="000154BA">
      <w:pPr>
        <w:pStyle w:val="Point0"/>
      </w:pPr>
      <w:r w:rsidRPr="00431CEE">
        <w:t>b</w:t>
      </w:r>
      <w:proofErr w:type="gramStart"/>
      <w:r w:rsidRPr="00431CEE">
        <w:t>)</w:t>
      </w:r>
      <w:r w:rsidRPr="00431CEE">
        <w:tab/>
      </w:r>
      <w:r w:rsidR="006E547D" w:rsidRPr="00431CEE">
        <w:t>„niewielkie</w:t>
      </w:r>
      <w:proofErr w:type="gramEnd"/>
      <w:r w:rsidR="006E547D" w:rsidRPr="00431CEE">
        <w:t xml:space="preserve"> zastrzeżenie” oznacza niewielki problem stwierdzony</w:t>
      </w:r>
      <w:r w:rsidR="00057488" w:rsidRPr="00431CEE">
        <w:t xml:space="preserve"> w tra</w:t>
      </w:r>
      <w:r w:rsidR="006E547D" w:rsidRPr="00431CEE">
        <w:t>kcie oceny wniosku dotyczącego jednolitego certyfikatu bezpieczeństwa lub autoryzacji</w:t>
      </w:r>
      <w:r w:rsidR="00057488" w:rsidRPr="00431CEE">
        <w:t xml:space="preserve"> w zak</w:t>
      </w:r>
      <w:r w:rsidR="006E547D" w:rsidRPr="00431CEE">
        <w:t>resie bezpieczeństwa, który nie stanowi przeszkody dla ich wydania</w:t>
      </w:r>
      <w:r w:rsidR="00057488" w:rsidRPr="00431CEE">
        <w:t xml:space="preserve"> i moż</w:t>
      </w:r>
      <w:r w:rsidR="006E547D" w:rsidRPr="00431CEE">
        <w:t>e być odłożony do rozpatrzenia</w:t>
      </w:r>
      <w:r w:rsidR="00057488" w:rsidRPr="00431CEE">
        <w:t xml:space="preserve"> w tra</w:t>
      </w:r>
      <w:r w:rsidR="006E547D" w:rsidRPr="00431CEE">
        <w:t>kcie późniejszego nadzoru.</w:t>
      </w:r>
    </w:p>
    <w:p w:rsidR="006E547D" w:rsidRPr="00431CEE" w:rsidRDefault="006E547D" w:rsidP="006E547D">
      <w:pPr>
        <w:pStyle w:val="Titrearticle"/>
      </w:pPr>
      <w:r w:rsidRPr="00431CEE">
        <w:t>Artykuł 3</w:t>
      </w:r>
    </w:p>
    <w:p w:rsidR="006E547D" w:rsidRPr="00431CEE" w:rsidRDefault="006E547D" w:rsidP="006E547D">
      <w:pPr>
        <w:pStyle w:val="NormalCentered"/>
        <w:rPr>
          <w:b/>
          <w:bCs/>
        </w:rPr>
      </w:pPr>
      <w:r w:rsidRPr="00431CEE">
        <w:rPr>
          <w:b/>
        </w:rPr>
        <w:t>Proces nadzoru</w:t>
      </w:r>
    </w:p>
    <w:p w:rsidR="006E547D" w:rsidRPr="00431CEE" w:rsidRDefault="006E547D" w:rsidP="00172361">
      <w:pPr>
        <w:pStyle w:val="NumPar1"/>
        <w:numPr>
          <w:ilvl w:val="0"/>
          <w:numId w:val="3"/>
        </w:numPr>
      </w:pPr>
      <w:r w:rsidRPr="00431CEE">
        <w:t>Krajowe organy ds. bezpieczeństwa stosują proces nadzoru określony</w:t>
      </w:r>
      <w:r w:rsidR="00057488" w:rsidRPr="00431CEE">
        <w:t xml:space="preserve"> w zał</w:t>
      </w:r>
      <w:r w:rsidRPr="00431CEE">
        <w:t>ączniku I.</w:t>
      </w:r>
    </w:p>
    <w:p w:rsidR="006E547D" w:rsidRPr="00431CEE" w:rsidRDefault="006E547D" w:rsidP="00172361">
      <w:pPr>
        <w:pStyle w:val="NumPar1"/>
        <w:numPr>
          <w:ilvl w:val="0"/>
          <w:numId w:val="3"/>
        </w:numPr>
      </w:pPr>
      <w:r w:rsidRPr="00431CEE">
        <w:t>Krajowe organy ds. bezpieczeństwa ustanawiają wewnętrzne zasady lub procedury na potrzeby zarządzania procesem nadzoru.</w:t>
      </w:r>
    </w:p>
    <w:p w:rsidR="006E547D" w:rsidRPr="00431CEE" w:rsidRDefault="006E547D" w:rsidP="00172361">
      <w:pPr>
        <w:pStyle w:val="NumPar1"/>
        <w:numPr>
          <w:ilvl w:val="0"/>
          <w:numId w:val="3"/>
        </w:numPr>
      </w:pPr>
      <w:r w:rsidRPr="00431CEE">
        <w:t>Do celów nadzoru krajowe organy ds. bezpieczeństwa akceptują zezwolenia, świadectwa uznania lub certyfikaty produktów lub usług świadczonych przez przedsiębiorstwa kolejowe</w:t>
      </w:r>
      <w:r w:rsidR="00057488" w:rsidRPr="00431CEE">
        <w:t xml:space="preserve"> i zar</w:t>
      </w:r>
      <w:r w:rsidRPr="00431CEE">
        <w:t>ządców infrastruktury, lub przez ich wykonawców, partnerów lub dostawców, przyznane zgodnie ze stosownymi przepisami unijnymi, jako dowód zdolności przedsiębiorstw kolejowych</w:t>
      </w:r>
      <w:r w:rsidR="00057488" w:rsidRPr="00431CEE">
        <w:t xml:space="preserve"> i zar</w:t>
      </w:r>
      <w:r w:rsidRPr="00431CEE">
        <w:t>ządców infrastruktury do spełnienia odpowiednich wymogów określonych</w:t>
      </w:r>
      <w:r w:rsidR="00057488" w:rsidRPr="00431CEE">
        <w:t xml:space="preserve"> w roz</w:t>
      </w:r>
      <w:r w:rsidRPr="00431CEE">
        <w:t>porządzeniu delegowanym (UE) …/…</w:t>
      </w:r>
      <w:r w:rsidRPr="00431CEE">
        <w:rPr>
          <w:rStyle w:val="FootnoteReference"/>
        </w:rPr>
        <w:footnoteReference w:id="8"/>
      </w:r>
      <w:r w:rsidRPr="00431CEE">
        <w:t xml:space="preserve"> [</w:t>
      </w:r>
      <w:r w:rsidRPr="00431CEE">
        <w:rPr>
          <w:i/>
        </w:rPr>
        <w:t>w sprawie systemu zarządzania bezpieczeństwem</w:t>
      </w:r>
      <w:r w:rsidRPr="00431CEE">
        <w:t>].</w:t>
      </w:r>
    </w:p>
    <w:p w:rsidR="006E547D" w:rsidRPr="00431CEE" w:rsidRDefault="006E547D" w:rsidP="006E547D">
      <w:pPr>
        <w:pStyle w:val="Titrearticle"/>
      </w:pPr>
      <w:r w:rsidRPr="00431CEE">
        <w:lastRenderedPageBreak/>
        <w:t>Artykuł 4</w:t>
      </w:r>
    </w:p>
    <w:p w:rsidR="006E547D" w:rsidRPr="00431CEE" w:rsidRDefault="006E547D" w:rsidP="006E547D">
      <w:pPr>
        <w:pStyle w:val="NormalCentered"/>
        <w:rPr>
          <w:b/>
          <w:bCs/>
        </w:rPr>
      </w:pPr>
      <w:r w:rsidRPr="00431CEE">
        <w:rPr>
          <w:b/>
        </w:rPr>
        <w:t>Techniki nadzoru</w:t>
      </w:r>
    </w:p>
    <w:p w:rsidR="006E547D" w:rsidRPr="00431CEE" w:rsidRDefault="006E547D" w:rsidP="006E547D">
      <w:r w:rsidRPr="00431CEE">
        <w:t>Krajowe organy ds. bezpieczeństwa przyjmują właściwe techniki, takie jak audyty</w:t>
      </w:r>
      <w:r w:rsidR="00057488" w:rsidRPr="00431CEE">
        <w:t xml:space="preserve"> i kon</w:t>
      </w:r>
      <w:r w:rsidRPr="00431CEE">
        <w:t>trole, oraz wybierają najbardziej odpowiednie techniki przy planowaniu swoich działań</w:t>
      </w:r>
      <w:r w:rsidR="00057488" w:rsidRPr="00431CEE">
        <w:t xml:space="preserve"> w zak</w:t>
      </w:r>
      <w:r w:rsidRPr="00431CEE">
        <w:t>resie nadzoru.</w:t>
      </w:r>
    </w:p>
    <w:p w:rsidR="006E547D" w:rsidRPr="00431CEE" w:rsidRDefault="006E547D" w:rsidP="006E547D">
      <w:pPr>
        <w:pStyle w:val="Titrearticle"/>
      </w:pPr>
      <w:r w:rsidRPr="00431CEE">
        <w:t>Artykuł 5</w:t>
      </w:r>
    </w:p>
    <w:p w:rsidR="006E547D" w:rsidRPr="00431CEE" w:rsidRDefault="006E547D" w:rsidP="006E547D">
      <w:pPr>
        <w:pStyle w:val="NormalCentered"/>
        <w:keepNext/>
        <w:rPr>
          <w:b/>
          <w:bCs/>
        </w:rPr>
      </w:pPr>
      <w:r w:rsidRPr="00431CEE">
        <w:rPr>
          <w:b/>
        </w:rPr>
        <w:t>Powiązania między nadzorem</w:t>
      </w:r>
      <w:r w:rsidR="00057488" w:rsidRPr="00431CEE">
        <w:rPr>
          <w:b/>
        </w:rPr>
        <w:t xml:space="preserve"> i oce</w:t>
      </w:r>
      <w:r w:rsidRPr="00431CEE">
        <w:rPr>
          <w:b/>
        </w:rPr>
        <w:t>ną</w:t>
      </w:r>
    </w:p>
    <w:p w:rsidR="006E547D" w:rsidRPr="00431CEE" w:rsidRDefault="006E547D" w:rsidP="00172361">
      <w:pPr>
        <w:pStyle w:val="NumPar1"/>
        <w:numPr>
          <w:ilvl w:val="0"/>
          <w:numId w:val="5"/>
        </w:numPr>
      </w:pPr>
      <w:r w:rsidRPr="00431CEE">
        <w:t>Prowadzący nadzór krajowy organ ds. bezpieczeństwa wykorzystuje oraz</w:t>
      </w:r>
      <w:r w:rsidR="00057488" w:rsidRPr="00431CEE">
        <w:t xml:space="preserve"> w sto</w:t>
      </w:r>
      <w:r w:rsidRPr="00431CEE">
        <w:t>sownych przypadkach wymienia informacje na temat wyników systemu zarządzania bezpieczeństwem, zgromadzone</w:t>
      </w:r>
      <w:r w:rsidR="00057488" w:rsidRPr="00431CEE">
        <w:t xml:space="preserve"> w tra</w:t>
      </w:r>
      <w:r w:rsidRPr="00431CEE">
        <w:t>kcie swoich działań</w:t>
      </w:r>
      <w:r w:rsidR="00057488" w:rsidRPr="00431CEE">
        <w:t xml:space="preserve"> w zak</w:t>
      </w:r>
      <w:r w:rsidRPr="00431CEE">
        <w:t>resie nadzoru, do celów odnowienia lub aktualizacji jednolitych certyfikatów bezpieczeństwa lub autoryzacji</w:t>
      </w:r>
      <w:r w:rsidR="00057488" w:rsidRPr="00431CEE">
        <w:t xml:space="preserve"> w zak</w:t>
      </w:r>
      <w:r w:rsidRPr="00431CEE">
        <w:t>resie bezpieczeństwa.</w:t>
      </w:r>
    </w:p>
    <w:p w:rsidR="006E547D" w:rsidRPr="00431CEE" w:rsidRDefault="006E547D" w:rsidP="006E547D">
      <w:pPr>
        <w:pStyle w:val="NumPar1"/>
      </w:pPr>
      <w:r w:rsidRPr="00431CEE">
        <w:t xml:space="preserve">W </w:t>
      </w:r>
      <w:proofErr w:type="gramStart"/>
      <w:r w:rsidRPr="00431CEE">
        <w:t>przypadku gdy</w:t>
      </w:r>
      <w:proofErr w:type="gramEnd"/>
      <w:r w:rsidRPr="00431CEE">
        <w:t xml:space="preserve"> krajowy organ ds. bezpieczeństwa,</w:t>
      </w:r>
      <w:r w:rsidR="00057488" w:rsidRPr="00431CEE">
        <w:t xml:space="preserve"> o któ</w:t>
      </w:r>
      <w:r w:rsidRPr="00431CEE">
        <w:t>rym mowa</w:t>
      </w:r>
      <w:r w:rsidR="00057488" w:rsidRPr="00431CEE">
        <w:t xml:space="preserve"> w ust</w:t>
      </w:r>
      <w:r w:rsidRPr="00431CEE">
        <w:t>.</w:t>
      </w:r>
      <w:r w:rsidR="00057488" w:rsidRPr="00431CEE">
        <w:t> </w:t>
      </w:r>
      <w:r w:rsidRPr="00431CEE">
        <w:t>1, nie jest odpowiedzialny za wydawanie jednolitego certyfikatu bezpieczeństwa lub autoryzacji</w:t>
      </w:r>
      <w:r w:rsidR="00057488" w:rsidRPr="00431CEE">
        <w:t xml:space="preserve"> w zak</w:t>
      </w:r>
      <w:r w:rsidRPr="00431CEE">
        <w:t>resie bezpieczeństwa, podejmuje on niezwłocznie koordynację</w:t>
      </w:r>
      <w:r w:rsidR="00057488" w:rsidRPr="00431CEE">
        <w:t xml:space="preserve"> z Age</w:t>
      </w:r>
      <w:r w:rsidRPr="00431CEE">
        <w:t>ncją działającą</w:t>
      </w:r>
      <w:r w:rsidR="00057488" w:rsidRPr="00431CEE">
        <w:t xml:space="preserve"> w cha</w:t>
      </w:r>
      <w:r w:rsidRPr="00431CEE">
        <w:t>rakterze organu ds. certyfikacji</w:t>
      </w:r>
      <w:r w:rsidR="00057488" w:rsidRPr="00431CEE">
        <w:t xml:space="preserve"> w zak</w:t>
      </w:r>
      <w:r w:rsidRPr="00431CEE">
        <w:t>resie bezpieczeństwa lub</w:t>
      </w:r>
      <w:r w:rsidR="00057488" w:rsidRPr="00431CEE">
        <w:t xml:space="preserve"> z wła</w:t>
      </w:r>
      <w:r w:rsidRPr="00431CEE">
        <w:t>ściwym krajowym organem ds. bezpieczeństwa,</w:t>
      </w:r>
      <w:r w:rsidR="00057488" w:rsidRPr="00431CEE">
        <w:t xml:space="preserve"> w prz</w:t>
      </w:r>
      <w:r w:rsidRPr="00431CEE">
        <w:t>ypadku infrastruktury mającej charakter transgraniczny, na jego wniosek, po otrzymaniu wniosku</w:t>
      </w:r>
      <w:r w:rsidR="00057488" w:rsidRPr="00431CEE">
        <w:t xml:space="preserve"> o odn</w:t>
      </w:r>
      <w:r w:rsidRPr="00431CEE">
        <w:t>owienie lub aktualizację.</w:t>
      </w:r>
    </w:p>
    <w:p w:rsidR="006E547D" w:rsidRPr="00431CEE" w:rsidRDefault="006E547D" w:rsidP="006E547D">
      <w:pPr>
        <w:pStyle w:val="Text1"/>
        <w:keepNext/>
      </w:pPr>
      <w:r w:rsidRPr="00431CEE">
        <w:t>W oparciu</w:t>
      </w:r>
      <w:r w:rsidR="00057488" w:rsidRPr="00431CEE">
        <w:t xml:space="preserve"> o wyn</w:t>
      </w:r>
      <w:r w:rsidRPr="00431CEE">
        <w:t>iki koordynacji,</w:t>
      </w:r>
      <w:r w:rsidR="00057488" w:rsidRPr="00431CEE">
        <w:t xml:space="preserve"> o któ</w:t>
      </w:r>
      <w:r w:rsidRPr="00431CEE">
        <w:t>rej mowa</w:t>
      </w:r>
      <w:r w:rsidR="00057488" w:rsidRPr="00431CEE">
        <w:t xml:space="preserve"> w aka</w:t>
      </w:r>
      <w:r w:rsidRPr="00431CEE">
        <w:t>picie pierwszym, krajowy organ ds. bezpieczeństwa wskazuje</w:t>
      </w:r>
      <w:r w:rsidR="00057488" w:rsidRPr="00431CEE">
        <w:t xml:space="preserve"> i pre</w:t>
      </w:r>
      <w:r w:rsidRPr="00431CEE">
        <w:t xml:space="preserve">cyzuje informacje, które są istotne dla oceny, czy system zarządzania bezpieczeństwem stosowany przez przedsiębiorstwo kolejowe lub zarządcę infrastruktury działa skutecznie, </w:t>
      </w:r>
      <w:proofErr w:type="gramStart"/>
      <w:r w:rsidRPr="00431CEE">
        <w:t>obejmujące co</w:t>
      </w:r>
      <w:proofErr w:type="gramEnd"/>
      <w:r w:rsidRPr="00431CEE">
        <w:t xml:space="preserve"> najmniej:</w:t>
      </w:r>
    </w:p>
    <w:p w:rsidR="006E547D" w:rsidRPr="00431CEE" w:rsidRDefault="000154BA" w:rsidP="000154BA">
      <w:pPr>
        <w:pStyle w:val="Point1"/>
      </w:pPr>
      <w:r w:rsidRPr="00431CEE">
        <w:t>a</w:t>
      </w:r>
      <w:proofErr w:type="gramStart"/>
      <w:r w:rsidRPr="00431CEE">
        <w:t>)</w:t>
      </w:r>
      <w:r w:rsidRPr="00431CEE">
        <w:tab/>
      </w:r>
      <w:r w:rsidR="006E547D" w:rsidRPr="00431CEE">
        <w:t>opis</w:t>
      </w:r>
      <w:proofErr w:type="gramEnd"/>
      <w:r w:rsidR="006E547D" w:rsidRPr="00431CEE">
        <w:t xml:space="preserve"> poważnych niezgodności, które mogą mieć wpływ na wyniki</w:t>
      </w:r>
      <w:r w:rsidR="00057488" w:rsidRPr="00431CEE">
        <w:t xml:space="preserve"> w zak</w:t>
      </w:r>
      <w:r w:rsidR="006E547D" w:rsidRPr="00431CEE">
        <w:t>resie bezpieczeństwa lub stwarzać poważne zagrożenia dla bezpieczeństwa, oraz wszelkich innych budzących zastrzeżenia kwestii zidentyfikowanych</w:t>
      </w:r>
      <w:r w:rsidR="00057488" w:rsidRPr="00431CEE">
        <w:t xml:space="preserve"> w tra</w:t>
      </w:r>
      <w:r w:rsidR="006E547D" w:rsidRPr="00431CEE">
        <w:t>kcie działań</w:t>
      </w:r>
      <w:r w:rsidR="00057488" w:rsidRPr="00431CEE">
        <w:t xml:space="preserve"> w zak</w:t>
      </w:r>
      <w:r w:rsidR="006E547D" w:rsidRPr="00431CEE">
        <w:t>resie nadzoru od czasu poprzedniej oceny;</w:t>
      </w:r>
    </w:p>
    <w:p w:rsidR="006E547D" w:rsidRPr="00431CEE" w:rsidRDefault="000154BA" w:rsidP="000154BA">
      <w:pPr>
        <w:pStyle w:val="Point1"/>
      </w:pPr>
      <w:r w:rsidRPr="00431CEE">
        <w:t>b</w:t>
      </w:r>
      <w:proofErr w:type="gramStart"/>
      <w:r w:rsidRPr="00431CEE">
        <w:t>)</w:t>
      </w:r>
      <w:r w:rsidRPr="00431CEE">
        <w:tab/>
      </w:r>
      <w:r w:rsidR="006E547D" w:rsidRPr="00431CEE">
        <w:t>status</w:t>
      </w:r>
      <w:proofErr w:type="gramEnd"/>
      <w:r w:rsidR="006E547D" w:rsidRPr="00431CEE">
        <w:t xml:space="preserve"> planu (lub planów) działania ustanowionych przez przedsiębiorstwo kolejowe lub zarządcę infrastruktury</w:t>
      </w:r>
      <w:r w:rsidR="00057488" w:rsidRPr="00431CEE">
        <w:t xml:space="preserve"> w cel</w:t>
      </w:r>
      <w:r w:rsidR="006E547D" w:rsidRPr="00431CEE">
        <w:t>u usunięcia poważnych niezgodności</w:t>
      </w:r>
      <w:r w:rsidR="00057488" w:rsidRPr="00431CEE">
        <w:t xml:space="preserve"> i roz</w:t>
      </w:r>
      <w:r w:rsidR="006E547D" w:rsidRPr="00431CEE">
        <w:t>wiązania wszelkich innych kwestii budzących zastrzeżenia,</w:t>
      </w:r>
      <w:r w:rsidR="00057488" w:rsidRPr="00431CEE">
        <w:t xml:space="preserve"> o któ</w:t>
      </w:r>
      <w:r w:rsidR="006E547D" w:rsidRPr="00431CEE">
        <w:t>rych mowa</w:t>
      </w:r>
      <w:r w:rsidR="00057488" w:rsidRPr="00431CEE">
        <w:t xml:space="preserve"> w lit</w:t>
      </w:r>
      <w:r w:rsidR="006E547D" w:rsidRPr="00431CEE">
        <w:t>.</w:t>
      </w:r>
      <w:r w:rsidR="00057488" w:rsidRPr="00431CEE">
        <w:t> </w:t>
      </w:r>
      <w:r w:rsidR="006E547D" w:rsidRPr="00431CEE">
        <w:t>a), oraz stosowne działania podjęte przez krajowy organ ds. bezpieczeństwa</w:t>
      </w:r>
      <w:r w:rsidR="00057488" w:rsidRPr="00431CEE">
        <w:t xml:space="preserve"> w cel</w:t>
      </w:r>
      <w:r w:rsidR="006E547D" w:rsidRPr="00431CEE">
        <w:t>u nadzorowania rozwiązania tych problemów;</w:t>
      </w:r>
    </w:p>
    <w:p w:rsidR="006E547D" w:rsidRPr="00431CEE" w:rsidRDefault="000154BA" w:rsidP="000154BA">
      <w:pPr>
        <w:pStyle w:val="Point1"/>
      </w:pPr>
      <w:r w:rsidRPr="00431CEE">
        <w:t>c</w:t>
      </w:r>
      <w:proofErr w:type="gramStart"/>
      <w:r w:rsidRPr="00431CEE">
        <w:t>)</w:t>
      </w:r>
      <w:r w:rsidRPr="00431CEE">
        <w:tab/>
      </w:r>
      <w:r w:rsidR="006E547D" w:rsidRPr="00431CEE">
        <w:t>przegląd</w:t>
      </w:r>
      <w:proofErr w:type="gramEnd"/>
      <w:r w:rsidR="006E547D" w:rsidRPr="00431CEE">
        <w:t xml:space="preserve"> wyników</w:t>
      </w:r>
      <w:r w:rsidR="00057488" w:rsidRPr="00431CEE">
        <w:t xml:space="preserve"> w zak</w:t>
      </w:r>
      <w:r w:rsidR="006E547D" w:rsidRPr="00431CEE">
        <w:t>resie bezpieczeństwa osiągniętych przez przedsiębiorstwo kolejowe lub zarządcę infrastruktury działających</w:t>
      </w:r>
      <w:r w:rsidR="00057488" w:rsidRPr="00431CEE">
        <w:t xml:space="preserve"> w jeg</w:t>
      </w:r>
      <w:r w:rsidR="006E547D" w:rsidRPr="00431CEE">
        <w:t>o państwie członkowskim;</w:t>
      </w:r>
    </w:p>
    <w:p w:rsidR="006E547D" w:rsidRPr="00431CEE" w:rsidRDefault="000154BA" w:rsidP="000154BA">
      <w:pPr>
        <w:pStyle w:val="Point1"/>
      </w:pPr>
      <w:r w:rsidRPr="00431CEE">
        <w:t>d</w:t>
      </w:r>
      <w:proofErr w:type="gramStart"/>
      <w:r w:rsidRPr="00431CEE">
        <w:t>)</w:t>
      </w:r>
      <w:r w:rsidRPr="00431CEE">
        <w:tab/>
      </w:r>
      <w:r w:rsidR="006E547D" w:rsidRPr="00431CEE">
        <w:t>status</w:t>
      </w:r>
      <w:proofErr w:type="gramEnd"/>
      <w:r w:rsidR="006E547D" w:rsidRPr="00431CEE">
        <w:t xml:space="preserve"> planu (lub planów) działania ustanowionych przez przedsiębiorstwo kolejowe lub zarządcę infrastruktury</w:t>
      </w:r>
      <w:r w:rsidR="00057488" w:rsidRPr="00431CEE">
        <w:t xml:space="preserve"> w cel</w:t>
      </w:r>
      <w:r w:rsidR="006E547D" w:rsidRPr="00431CEE">
        <w:t>u usunięcia niewielkich zastrzeżeń stwierdzonych</w:t>
      </w:r>
      <w:r w:rsidR="00057488" w:rsidRPr="00431CEE">
        <w:t xml:space="preserve"> w tra</w:t>
      </w:r>
      <w:r w:rsidR="006E547D" w:rsidRPr="00431CEE">
        <w:t>kcie poprzedniej oceny.</w:t>
      </w:r>
    </w:p>
    <w:p w:rsidR="006E547D" w:rsidRPr="00431CEE" w:rsidRDefault="006E547D" w:rsidP="006E547D">
      <w:pPr>
        <w:pStyle w:val="Titrearticle"/>
      </w:pPr>
      <w:r w:rsidRPr="00431CEE">
        <w:lastRenderedPageBreak/>
        <w:t>Artykuł 6</w:t>
      </w:r>
    </w:p>
    <w:p w:rsidR="006E547D" w:rsidRPr="00431CEE" w:rsidRDefault="006E547D" w:rsidP="006E547D">
      <w:pPr>
        <w:pStyle w:val="NormalCentered"/>
        <w:keepNext/>
        <w:rPr>
          <w:b/>
          <w:bCs/>
        </w:rPr>
      </w:pPr>
      <w:r w:rsidRPr="00431CEE">
        <w:rPr>
          <w:b/>
        </w:rPr>
        <w:t>Kompetencje personelu uczestniczącego</w:t>
      </w:r>
      <w:r w:rsidR="00057488" w:rsidRPr="00431CEE">
        <w:rPr>
          <w:b/>
        </w:rPr>
        <w:t xml:space="preserve"> w dzi</w:t>
      </w:r>
      <w:r w:rsidRPr="00431CEE">
        <w:rPr>
          <w:b/>
        </w:rPr>
        <w:t>ałaniach</w:t>
      </w:r>
      <w:r w:rsidR="00057488" w:rsidRPr="00431CEE">
        <w:rPr>
          <w:b/>
        </w:rPr>
        <w:t xml:space="preserve"> w zak</w:t>
      </w:r>
      <w:r w:rsidRPr="00431CEE">
        <w:rPr>
          <w:b/>
        </w:rPr>
        <w:t>resie nadzoru</w:t>
      </w:r>
    </w:p>
    <w:p w:rsidR="006E547D" w:rsidRPr="00431CEE" w:rsidRDefault="006E547D" w:rsidP="00172361">
      <w:pPr>
        <w:pStyle w:val="NumPar1"/>
        <w:numPr>
          <w:ilvl w:val="0"/>
          <w:numId w:val="4"/>
        </w:numPr>
      </w:pPr>
      <w:r w:rsidRPr="00431CEE">
        <w:t>Krajowe organy ds. bezpieczeństwa zapewniają, aby personel uczestniczący</w:t>
      </w:r>
      <w:r w:rsidR="00057488" w:rsidRPr="00431CEE">
        <w:t xml:space="preserve"> w dzi</w:t>
      </w:r>
      <w:r w:rsidRPr="00431CEE">
        <w:t>ałaniach</w:t>
      </w:r>
      <w:r w:rsidR="00057488" w:rsidRPr="00431CEE">
        <w:t xml:space="preserve"> w zak</w:t>
      </w:r>
      <w:r w:rsidRPr="00431CEE">
        <w:t>resie nadzoru posiadał następujące kompetencje:</w:t>
      </w:r>
    </w:p>
    <w:p w:rsidR="006E547D" w:rsidRPr="00431CEE" w:rsidRDefault="000154BA" w:rsidP="000154BA">
      <w:pPr>
        <w:pStyle w:val="Point1"/>
      </w:pPr>
      <w:r w:rsidRPr="00431CEE">
        <w:t>a</w:t>
      </w:r>
      <w:proofErr w:type="gramStart"/>
      <w:r w:rsidRPr="00431CEE">
        <w:t>)</w:t>
      </w:r>
      <w:r w:rsidRPr="00431CEE">
        <w:tab/>
      </w:r>
      <w:r w:rsidR="006E547D" w:rsidRPr="00431CEE">
        <w:t>znajomość</w:t>
      </w:r>
      <w:proofErr w:type="gramEnd"/>
      <w:r w:rsidR="006E547D" w:rsidRPr="00431CEE">
        <w:t xml:space="preserve"> odpowiednich ram regulacyjnych mających zastosowanie do nadzoru;</w:t>
      </w:r>
    </w:p>
    <w:p w:rsidR="006E547D" w:rsidRPr="00431CEE" w:rsidRDefault="000154BA" w:rsidP="000154BA">
      <w:pPr>
        <w:pStyle w:val="Point1"/>
      </w:pPr>
      <w:r w:rsidRPr="00431CEE">
        <w:t>b</w:t>
      </w:r>
      <w:proofErr w:type="gramStart"/>
      <w:r w:rsidRPr="00431CEE">
        <w:t>)</w:t>
      </w:r>
      <w:r w:rsidRPr="00431CEE">
        <w:tab/>
      </w:r>
      <w:r w:rsidR="006E547D" w:rsidRPr="00431CEE">
        <w:t>znajomość</w:t>
      </w:r>
      <w:proofErr w:type="gramEnd"/>
      <w:r w:rsidR="006E547D" w:rsidRPr="00431CEE">
        <w:t xml:space="preserve"> funkcjonowania systemu kolejowego;</w:t>
      </w:r>
    </w:p>
    <w:p w:rsidR="006E547D" w:rsidRPr="00431CEE" w:rsidRDefault="000154BA" w:rsidP="000154BA">
      <w:pPr>
        <w:pStyle w:val="Point1"/>
      </w:pPr>
      <w:r w:rsidRPr="00431CEE">
        <w:t>c</w:t>
      </w:r>
      <w:proofErr w:type="gramStart"/>
      <w:r w:rsidRPr="00431CEE">
        <w:t>)</w:t>
      </w:r>
      <w:r w:rsidRPr="00431CEE">
        <w:tab/>
      </w:r>
      <w:r w:rsidR="006E547D" w:rsidRPr="00431CEE">
        <w:t>właściwy</w:t>
      </w:r>
      <w:proofErr w:type="gramEnd"/>
      <w:r w:rsidR="006E547D" w:rsidRPr="00431CEE">
        <w:t xml:space="preserve"> poziom analizy krytycznej;</w:t>
      </w:r>
    </w:p>
    <w:p w:rsidR="006E547D" w:rsidRPr="00431CEE" w:rsidRDefault="000154BA" w:rsidP="000154BA">
      <w:pPr>
        <w:pStyle w:val="Point1"/>
      </w:pPr>
      <w:r w:rsidRPr="00431CEE">
        <w:t>d</w:t>
      </w:r>
      <w:proofErr w:type="gramStart"/>
      <w:r w:rsidRPr="00431CEE">
        <w:t>)</w:t>
      </w:r>
      <w:r w:rsidRPr="00431CEE">
        <w:tab/>
      </w:r>
      <w:r w:rsidR="006E547D" w:rsidRPr="00431CEE">
        <w:t>doświadczenie</w:t>
      </w:r>
      <w:proofErr w:type="gramEnd"/>
      <w:r w:rsidR="00057488" w:rsidRPr="00431CEE">
        <w:t xml:space="preserve"> w dzi</w:t>
      </w:r>
      <w:r w:rsidR="006E547D" w:rsidRPr="00431CEE">
        <w:t>edzinie nadzoru nad systemem bezpieczeństwa lub podobnym systemem zarządzania</w:t>
      </w:r>
      <w:r w:rsidR="00057488" w:rsidRPr="00431CEE">
        <w:t xml:space="preserve"> w sek</w:t>
      </w:r>
      <w:r w:rsidR="006E547D" w:rsidRPr="00431CEE">
        <w:t>torze kolejowym, bądź systemem zarządzania bezpieczeństwem</w:t>
      </w:r>
      <w:r w:rsidR="00057488" w:rsidRPr="00431CEE">
        <w:t xml:space="preserve"> w sek</w:t>
      </w:r>
      <w:r w:rsidR="006E547D" w:rsidRPr="00431CEE">
        <w:t>torze</w:t>
      </w:r>
      <w:r w:rsidR="00057488" w:rsidRPr="00431CEE">
        <w:t xml:space="preserve"> o rów</w:t>
      </w:r>
      <w:r w:rsidR="006E547D" w:rsidRPr="00431CEE">
        <w:t>noważnych wyzwaniach operacyjnych</w:t>
      </w:r>
      <w:r w:rsidR="00057488" w:rsidRPr="00431CEE">
        <w:t xml:space="preserve"> i tec</w:t>
      </w:r>
      <w:r w:rsidR="006E547D" w:rsidRPr="00431CEE">
        <w:t>hnicznych;</w:t>
      </w:r>
    </w:p>
    <w:p w:rsidR="006E547D" w:rsidRPr="00431CEE" w:rsidRDefault="000154BA" w:rsidP="000154BA">
      <w:pPr>
        <w:pStyle w:val="Point1"/>
      </w:pPr>
      <w:r w:rsidRPr="00431CEE">
        <w:t>e</w:t>
      </w:r>
      <w:proofErr w:type="gramStart"/>
      <w:r w:rsidRPr="00431CEE">
        <w:t>)</w:t>
      </w:r>
      <w:r w:rsidRPr="00431CEE">
        <w:tab/>
      </w:r>
      <w:r w:rsidR="006E547D" w:rsidRPr="00431CEE">
        <w:t>wiedza</w:t>
      </w:r>
      <w:proofErr w:type="gramEnd"/>
      <w:r w:rsidR="006E547D" w:rsidRPr="00431CEE">
        <w:t>, umiejętności</w:t>
      </w:r>
      <w:r w:rsidR="00057488" w:rsidRPr="00431CEE">
        <w:t xml:space="preserve"> i doś</w:t>
      </w:r>
      <w:r w:rsidR="006E547D" w:rsidRPr="00431CEE">
        <w:t>wiadczenie</w:t>
      </w:r>
      <w:r w:rsidR="00057488" w:rsidRPr="00431CEE">
        <w:t xml:space="preserve"> w zak</w:t>
      </w:r>
      <w:r w:rsidR="006E547D" w:rsidRPr="00431CEE">
        <w:t>resie prowadzenia rozmów;</w:t>
      </w:r>
    </w:p>
    <w:p w:rsidR="006E547D" w:rsidRPr="00431CEE" w:rsidRDefault="000154BA" w:rsidP="000154BA">
      <w:pPr>
        <w:pStyle w:val="Point1"/>
      </w:pPr>
      <w:r w:rsidRPr="00431CEE">
        <w:t>f</w:t>
      </w:r>
      <w:proofErr w:type="gramStart"/>
      <w:r w:rsidRPr="00431CEE">
        <w:t>)</w:t>
      </w:r>
      <w:r w:rsidRPr="00431CEE">
        <w:tab/>
      </w:r>
      <w:r w:rsidR="006E547D" w:rsidRPr="00431CEE">
        <w:t>umiejętność</w:t>
      </w:r>
      <w:proofErr w:type="gramEnd"/>
      <w:r w:rsidR="006E547D" w:rsidRPr="00431CEE">
        <w:t xml:space="preserve"> rozwiązywania problemów, komunikowania się</w:t>
      </w:r>
      <w:r w:rsidR="00057488" w:rsidRPr="00431CEE">
        <w:t xml:space="preserve"> i pra</w:t>
      </w:r>
      <w:r w:rsidR="006E547D" w:rsidRPr="00431CEE">
        <w:t>cy zespołowej.</w:t>
      </w:r>
    </w:p>
    <w:p w:rsidR="006E547D" w:rsidRPr="00431CEE" w:rsidRDefault="006E547D" w:rsidP="00172361">
      <w:pPr>
        <w:pStyle w:val="NumPar1"/>
        <w:numPr>
          <w:ilvl w:val="0"/>
          <w:numId w:val="4"/>
        </w:numPr>
      </w:pPr>
      <w:r w:rsidRPr="00431CEE">
        <w:t>W przypadku pracy zespołowej kompetencje mogą być dzielone między członkami zespołu.</w:t>
      </w:r>
    </w:p>
    <w:p w:rsidR="006E547D" w:rsidRPr="00431CEE" w:rsidRDefault="006E547D" w:rsidP="00172361">
      <w:pPr>
        <w:pStyle w:val="NumPar1"/>
        <w:numPr>
          <w:ilvl w:val="0"/>
          <w:numId w:val="4"/>
        </w:numPr>
      </w:pPr>
      <w:r w:rsidRPr="00431CEE">
        <w:t>W celu zapewnienia właściwego stosowania ust.</w:t>
      </w:r>
      <w:r w:rsidR="00057488" w:rsidRPr="00431CEE">
        <w:t> </w:t>
      </w:r>
      <w:r w:rsidRPr="00431CEE">
        <w:t>1 krajowe organy ds. bezpieczeństwa wprowadzają system zarządzania kompetencjami, który obejmuje:</w:t>
      </w:r>
    </w:p>
    <w:p w:rsidR="006E547D" w:rsidRPr="00431CEE" w:rsidRDefault="000154BA" w:rsidP="000154BA">
      <w:pPr>
        <w:pStyle w:val="Point1"/>
      </w:pPr>
      <w:r w:rsidRPr="00431CEE">
        <w:t>a</w:t>
      </w:r>
      <w:proofErr w:type="gramStart"/>
      <w:r w:rsidRPr="00431CEE">
        <w:t>)</w:t>
      </w:r>
      <w:r w:rsidRPr="00431CEE">
        <w:tab/>
      </w:r>
      <w:r w:rsidR="006E547D" w:rsidRPr="00431CEE">
        <w:t>tworzenie</w:t>
      </w:r>
      <w:proofErr w:type="gramEnd"/>
      <w:r w:rsidR="006E547D" w:rsidRPr="00431CEE">
        <w:t xml:space="preserve"> profili kompetencji</w:t>
      </w:r>
      <w:r w:rsidR="00057488" w:rsidRPr="00431CEE">
        <w:t xml:space="preserve"> w odn</w:t>
      </w:r>
      <w:r w:rsidR="006E547D" w:rsidRPr="00431CEE">
        <w:t>iesieniu do każdego miejsca pracy, stanowiska lub funkcji;</w:t>
      </w:r>
    </w:p>
    <w:p w:rsidR="006E547D" w:rsidRPr="00431CEE" w:rsidRDefault="000154BA" w:rsidP="000154BA">
      <w:pPr>
        <w:pStyle w:val="Point1"/>
      </w:pPr>
      <w:r w:rsidRPr="00431CEE">
        <w:t>b</w:t>
      </w:r>
      <w:proofErr w:type="gramStart"/>
      <w:r w:rsidRPr="00431CEE">
        <w:t>)</w:t>
      </w:r>
      <w:r w:rsidRPr="00431CEE">
        <w:tab/>
      </w:r>
      <w:r w:rsidR="006E547D" w:rsidRPr="00431CEE">
        <w:t>zatrudnianie</w:t>
      </w:r>
      <w:proofErr w:type="gramEnd"/>
      <w:r w:rsidR="006E547D" w:rsidRPr="00431CEE">
        <w:t xml:space="preserve"> personelu zgodnie</w:t>
      </w:r>
      <w:r w:rsidR="00057488" w:rsidRPr="00431CEE">
        <w:t xml:space="preserve"> z ust</w:t>
      </w:r>
      <w:r w:rsidR="006E547D" w:rsidRPr="00431CEE">
        <w:t>anowionymi profilami kompetencji;</w:t>
      </w:r>
    </w:p>
    <w:p w:rsidR="006E547D" w:rsidRPr="00431CEE" w:rsidRDefault="000154BA" w:rsidP="000154BA">
      <w:pPr>
        <w:pStyle w:val="Point1"/>
      </w:pPr>
      <w:r w:rsidRPr="00431CEE">
        <w:t>c</w:t>
      </w:r>
      <w:proofErr w:type="gramStart"/>
      <w:r w:rsidRPr="00431CEE">
        <w:t>)</w:t>
      </w:r>
      <w:r w:rsidRPr="00431CEE">
        <w:tab/>
      </w:r>
      <w:r w:rsidR="006E547D" w:rsidRPr="00431CEE">
        <w:t>utrzymanie</w:t>
      </w:r>
      <w:proofErr w:type="gramEnd"/>
      <w:r w:rsidR="006E547D" w:rsidRPr="00431CEE">
        <w:t>, rozwój</w:t>
      </w:r>
      <w:r w:rsidR="00057488" w:rsidRPr="00431CEE">
        <w:t xml:space="preserve"> i oce</w:t>
      </w:r>
      <w:r w:rsidR="006E547D" w:rsidRPr="00431CEE">
        <w:t>nę kompetencji personelu zgodnie</w:t>
      </w:r>
      <w:r w:rsidR="00057488" w:rsidRPr="00431CEE">
        <w:t xml:space="preserve"> z ust</w:t>
      </w:r>
      <w:r w:rsidR="006E547D" w:rsidRPr="00431CEE">
        <w:t>anowionymi profilami kompetencji.</w:t>
      </w:r>
    </w:p>
    <w:p w:rsidR="006E547D" w:rsidRPr="00431CEE" w:rsidRDefault="006E547D" w:rsidP="006E547D">
      <w:pPr>
        <w:pStyle w:val="Titrearticle"/>
      </w:pPr>
      <w:r w:rsidRPr="00431CEE">
        <w:t>Artykuł 7</w:t>
      </w:r>
    </w:p>
    <w:p w:rsidR="006E547D" w:rsidRPr="00431CEE" w:rsidRDefault="006E547D" w:rsidP="006E547D">
      <w:pPr>
        <w:pStyle w:val="NormalCentered"/>
        <w:rPr>
          <w:bCs/>
        </w:rPr>
      </w:pPr>
      <w:r w:rsidRPr="00431CEE">
        <w:rPr>
          <w:b/>
        </w:rPr>
        <w:t>Kryteria podejmowania decyzji</w:t>
      </w:r>
    </w:p>
    <w:p w:rsidR="006E547D" w:rsidRPr="00431CEE" w:rsidRDefault="006E547D" w:rsidP="00A309C4">
      <w:pPr>
        <w:pStyle w:val="NumPar1"/>
        <w:numPr>
          <w:ilvl w:val="0"/>
          <w:numId w:val="6"/>
        </w:numPr>
      </w:pPr>
      <w:r w:rsidRPr="00431CEE">
        <w:t>Krajowy organ ds. bezpieczeństwa ustanawia</w:t>
      </w:r>
      <w:r w:rsidR="00057488" w:rsidRPr="00431CEE">
        <w:t xml:space="preserve"> i pub</w:t>
      </w:r>
      <w:r w:rsidRPr="00431CEE">
        <w:t>likuje kryteria podejmowania decyzji dotyczące stosowanych przez niego metod oceny prawidłowego stosowania systemu zarządzania bezpieczeństwem przez przedsiębiorstwo kolejowe lub zarządcę infrastruktury oraz oceny skuteczności systemu zarządzania bezpieczeństwem</w:t>
      </w:r>
      <w:r w:rsidR="00057488" w:rsidRPr="00431CEE">
        <w:t xml:space="preserve"> w kon</w:t>
      </w:r>
      <w:r w:rsidRPr="00431CEE">
        <w:t>trolowaniu zagrożeń dla bezpieczeństwa związanych</w:t>
      </w:r>
      <w:r w:rsidR="00057488" w:rsidRPr="00431CEE">
        <w:t xml:space="preserve"> z dzi</w:t>
      </w:r>
      <w:r w:rsidRPr="00431CEE">
        <w:t xml:space="preserve">ałalnością przedsiębiorstwa kolejowego lub zarządcy infrastruktury. </w:t>
      </w:r>
    </w:p>
    <w:p w:rsidR="006E547D" w:rsidRPr="00431CEE" w:rsidRDefault="006E547D" w:rsidP="00A07C5C">
      <w:pPr>
        <w:pStyle w:val="Text1"/>
      </w:pPr>
      <w:r w:rsidRPr="00431CEE">
        <w:t>Kryteria te obejmują informacje na temat tego,</w:t>
      </w:r>
      <w:r w:rsidR="00057488" w:rsidRPr="00431CEE">
        <w:t xml:space="preserve"> w jak</w:t>
      </w:r>
      <w:r w:rsidRPr="00431CEE">
        <w:t>i sposób krajowy organ ds. bezpieczeństwa zarządza</w:t>
      </w:r>
      <w:r w:rsidR="00057488" w:rsidRPr="00431CEE">
        <w:t xml:space="preserve"> i zaj</w:t>
      </w:r>
      <w:r w:rsidRPr="00431CEE">
        <w:t>muje się niezgodnościami stwierdzonymi</w:t>
      </w:r>
      <w:r w:rsidR="00057488" w:rsidRPr="00431CEE">
        <w:t xml:space="preserve"> w sys</w:t>
      </w:r>
      <w:r w:rsidRPr="00431CEE">
        <w:t>temie zarządzania bezpieczeństwem stosowanym przez przedsiębiorstwo kolejowe lub zarządcę infrastruktury.</w:t>
      </w:r>
    </w:p>
    <w:p w:rsidR="006E547D" w:rsidRPr="00431CEE" w:rsidRDefault="006E547D" w:rsidP="00A309C4">
      <w:pPr>
        <w:pStyle w:val="NumPar1"/>
        <w:numPr>
          <w:ilvl w:val="0"/>
          <w:numId w:val="6"/>
        </w:numPr>
      </w:pPr>
      <w:r w:rsidRPr="00431CEE">
        <w:t>Krajowy organ ds. bezpieczeństwa przyjmuje</w:t>
      </w:r>
      <w:r w:rsidR="00057488" w:rsidRPr="00431CEE">
        <w:t xml:space="preserve"> i pub</w:t>
      </w:r>
      <w:r w:rsidRPr="00431CEE">
        <w:t>likuje procedurę określającą szczegółowo,</w:t>
      </w:r>
      <w:r w:rsidR="00057488" w:rsidRPr="00431CEE">
        <w:t xml:space="preserve"> w jak</w:t>
      </w:r>
      <w:r w:rsidRPr="00431CEE">
        <w:t>i sposób przedsiębiorstwa kolejowe, zarządcy infrastruktury</w:t>
      </w:r>
      <w:r w:rsidR="00057488" w:rsidRPr="00431CEE">
        <w:t xml:space="preserve"> i wsz</w:t>
      </w:r>
      <w:r w:rsidRPr="00431CEE">
        <w:t>elkie inne zainteresowane strony mogą składać skargi na decyzje podejmowane</w:t>
      </w:r>
      <w:r w:rsidR="00057488" w:rsidRPr="00431CEE">
        <w:t xml:space="preserve"> w tra</w:t>
      </w:r>
      <w:r w:rsidRPr="00431CEE">
        <w:t>kcie prowadzenia działań</w:t>
      </w:r>
      <w:r w:rsidR="00057488" w:rsidRPr="00431CEE">
        <w:t xml:space="preserve"> w zak</w:t>
      </w:r>
      <w:r w:rsidRPr="00431CEE">
        <w:t>resie nadzoru.</w:t>
      </w:r>
    </w:p>
    <w:p w:rsidR="006E547D" w:rsidRPr="00431CEE" w:rsidRDefault="006E547D" w:rsidP="006E547D">
      <w:pPr>
        <w:pStyle w:val="Titrearticle"/>
      </w:pPr>
      <w:r w:rsidRPr="00431CEE">
        <w:lastRenderedPageBreak/>
        <w:t>Artykuł 8</w:t>
      </w:r>
    </w:p>
    <w:p w:rsidR="006E547D" w:rsidRPr="00431CEE" w:rsidRDefault="006E547D" w:rsidP="006E547D">
      <w:pPr>
        <w:pStyle w:val="NormalCentered"/>
        <w:rPr>
          <w:b/>
          <w:bCs/>
        </w:rPr>
      </w:pPr>
      <w:r w:rsidRPr="00431CEE">
        <w:rPr>
          <w:b/>
        </w:rPr>
        <w:t>Koordynacja między krajowymi organami ds. bezpieczeństwa</w:t>
      </w:r>
      <w:r w:rsidR="00057488" w:rsidRPr="00431CEE">
        <w:rPr>
          <w:b/>
        </w:rPr>
        <w:t xml:space="preserve"> i wsp</w:t>
      </w:r>
      <w:r w:rsidRPr="00431CEE">
        <w:rPr>
          <w:b/>
        </w:rPr>
        <w:t>ółpraca</w:t>
      </w:r>
      <w:r w:rsidR="00057488" w:rsidRPr="00431CEE">
        <w:rPr>
          <w:b/>
        </w:rPr>
        <w:t xml:space="preserve"> z inn</w:t>
      </w:r>
      <w:r w:rsidRPr="00431CEE">
        <w:rPr>
          <w:b/>
        </w:rPr>
        <w:t>ymi organami</w:t>
      </w:r>
    </w:p>
    <w:p w:rsidR="006E547D" w:rsidRPr="00431CEE" w:rsidRDefault="006E547D" w:rsidP="00A309C4">
      <w:pPr>
        <w:pStyle w:val="NumPar1"/>
        <w:numPr>
          <w:ilvl w:val="0"/>
          <w:numId w:val="7"/>
        </w:numPr>
      </w:pPr>
      <w:r w:rsidRPr="00431CEE">
        <w:t>Krajowe organy ds. bezpieczeństwa zaangażowane</w:t>
      </w:r>
      <w:r w:rsidR="00057488" w:rsidRPr="00431CEE">
        <w:t xml:space="preserve"> w nad</w:t>
      </w:r>
      <w:r w:rsidRPr="00431CEE">
        <w:t>zór nad zarządcą infrastruktury mającej charakter transgraniczny lub nad przedsiębiorstwem kolejowym działającym</w:t>
      </w:r>
      <w:r w:rsidR="00057488" w:rsidRPr="00431CEE">
        <w:t xml:space="preserve"> w wię</w:t>
      </w:r>
      <w:r w:rsidRPr="00431CEE">
        <w:t>cej niż jednym państwie członkowskim koordynują swoje podejścia do nadzoru zgodnie</w:t>
      </w:r>
      <w:r w:rsidR="00057488" w:rsidRPr="00431CEE">
        <w:t xml:space="preserve"> z art</w:t>
      </w:r>
      <w:r w:rsidRPr="00431CEE">
        <w:t>.</w:t>
      </w:r>
      <w:r w:rsidR="00057488" w:rsidRPr="00431CEE">
        <w:t> </w:t>
      </w:r>
      <w:r w:rsidRPr="00431CEE">
        <w:t>17 ust.</w:t>
      </w:r>
      <w:r w:rsidR="00057488" w:rsidRPr="00431CEE">
        <w:t> </w:t>
      </w:r>
      <w:r w:rsidRPr="00431CEE">
        <w:t>7</w:t>
      </w:r>
      <w:r w:rsidR="00057488" w:rsidRPr="00431CEE">
        <w:t xml:space="preserve"> i 9</w:t>
      </w:r>
      <w:r w:rsidRPr="00431CEE">
        <w:t xml:space="preserve"> dyrektywy (UE) 2016/798.</w:t>
      </w:r>
    </w:p>
    <w:p w:rsidR="006E547D" w:rsidRPr="00431CEE" w:rsidRDefault="006E547D" w:rsidP="00A07C5C">
      <w:pPr>
        <w:pStyle w:val="Text1"/>
      </w:pPr>
      <w:r w:rsidRPr="00431CEE">
        <w:t>Po przyznaniu autoryzacji</w:t>
      </w:r>
      <w:r w:rsidR="00057488" w:rsidRPr="00431CEE">
        <w:t xml:space="preserve"> w zak</w:t>
      </w:r>
      <w:r w:rsidRPr="00431CEE">
        <w:t>resie bezpieczeństwa lub jednolitego certyfikatu bezpieczeństwa krajowe organy ds. bezpieczeństwa niezwłocznie podejmują decyzję</w:t>
      </w:r>
      <w:r w:rsidR="00057488" w:rsidRPr="00431CEE">
        <w:t xml:space="preserve"> w spr</w:t>
      </w:r>
      <w:r w:rsidRPr="00431CEE">
        <w:t>awie tego, który</w:t>
      </w:r>
      <w:r w:rsidR="00057488" w:rsidRPr="00431CEE">
        <w:t xml:space="preserve"> z nic</w:t>
      </w:r>
      <w:r w:rsidRPr="00431CEE">
        <w:t>h ma odgrywać wiodącą rolę</w:t>
      </w:r>
      <w:r w:rsidR="00057488" w:rsidRPr="00431CEE">
        <w:t xml:space="preserve"> w koo</w:t>
      </w:r>
      <w:r w:rsidRPr="00431CEE">
        <w:t>rdynowaniu nadzoru nad prawidłowym stosowaniem</w:t>
      </w:r>
      <w:r w:rsidR="00057488" w:rsidRPr="00431CEE">
        <w:t xml:space="preserve"> i sku</w:t>
      </w:r>
      <w:r w:rsidRPr="00431CEE">
        <w:t>tecznością systemu zarządzania bezpieczeństwem, bez uszczerbku dla obowiązków krajowych organów ds. bezpieczeństwa wynikających</w:t>
      </w:r>
      <w:r w:rsidR="00057488" w:rsidRPr="00431CEE">
        <w:t xml:space="preserve"> z prz</w:t>
      </w:r>
      <w:r w:rsidRPr="00431CEE">
        <w:t>episów art.</w:t>
      </w:r>
      <w:r w:rsidR="00057488" w:rsidRPr="00431CEE">
        <w:t> </w:t>
      </w:r>
      <w:r w:rsidRPr="00431CEE">
        <w:t>16 ust.</w:t>
      </w:r>
      <w:r w:rsidR="00057488" w:rsidRPr="00431CEE">
        <w:t> </w:t>
      </w:r>
      <w:r w:rsidRPr="00431CEE">
        <w:t>2 lit.</w:t>
      </w:r>
      <w:r w:rsidR="00057488" w:rsidRPr="00431CEE">
        <w:t> </w:t>
      </w:r>
      <w:r w:rsidRPr="00431CEE">
        <w:t>d) oraz j)</w:t>
      </w:r>
      <w:r w:rsidR="00057488" w:rsidRPr="00431CEE">
        <w:t xml:space="preserve"> i art</w:t>
      </w:r>
      <w:r w:rsidRPr="00431CEE">
        <w:t>.</w:t>
      </w:r>
      <w:r w:rsidR="00057488" w:rsidRPr="00431CEE">
        <w:t> </w:t>
      </w:r>
      <w:r w:rsidRPr="00431CEE">
        <w:t>17 dyrektywy (UE) 2016/798.</w:t>
      </w:r>
    </w:p>
    <w:p w:rsidR="006E547D" w:rsidRPr="00431CEE" w:rsidRDefault="006E547D" w:rsidP="00A309C4">
      <w:pPr>
        <w:pStyle w:val="NumPar1"/>
        <w:numPr>
          <w:ilvl w:val="0"/>
          <w:numId w:val="7"/>
        </w:numPr>
      </w:pPr>
      <w:r w:rsidRPr="00431CEE">
        <w:t>Do celów ust.</w:t>
      </w:r>
      <w:r w:rsidR="00057488" w:rsidRPr="00431CEE">
        <w:t> </w:t>
      </w:r>
      <w:r w:rsidRPr="00431CEE">
        <w:t>1 krajowe organy ds. bezpieczeństwa opracowują ustalenia</w:t>
      </w:r>
      <w:r w:rsidR="00057488" w:rsidRPr="00431CEE">
        <w:t xml:space="preserve"> w opa</w:t>
      </w:r>
      <w:r w:rsidRPr="00431CEE">
        <w:t>rciu</w:t>
      </w:r>
      <w:r w:rsidR="00057488" w:rsidRPr="00431CEE">
        <w:t xml:space="preserve"> o ram</w:t>
      </w:r>
      <w:r w:rsidRPr="00431CEE">
        <w:t>y skoordynowanego</w:t>
      </w:r>
      <w:r w:rsidR="00057488" w:rsidRPr="00431CEE">
        <w:t xml:space="preserve"> i wsp</w:t>
      </w:r>
      <w:r w:rsidRPr="00431CEE">
        <w:t>ólnego nadzoru określone</w:t>
      </w:r>
      <w:r w:rsidR="00057488" w:rsidRPr="00431CEE">
        <w:t xml:space="preserve"> w zał</w:t>
      </w:r>
      <w:r w:rsidRPr="00431CEE">
        <w:t>ączniku II.</w:t>
      </w:r>
    </w:p>
    <w:p w:rsidR="006E547D" w:rsidRPr="00431CEE" w:rsidRDefault="006E547D" w:rsidP="00A309C4">
      <w:pPr>
        <w:pStyle w:val="NumPar1"/>
        <w:numPr>
          <w:ilvl w:val="0"/>
          <w:numId w:val="7"/>
        </w:numPr>
      </w:pPr>
      <w:r w:rsidRPr="00431CEE">
        <w:t>Krajowe organy ds. bezpieczeństwa opracowują również ustalenia dotyczące współpracy</w:t>
      </w:r>
      <w:r w:rsidR="00057488" w:rsidRPr="00431CEE">
        <w:t xml:space="preserve"> z kra</w:t>
      </w:r>
      <w:r w:rsidRPr="00431CEE">
        <w:t>jowymi organami dochodzeniowymi, organami certyfikującymi podmioty odpowiedzialne za utrzymanie oraz innymi właściwymi organami lub podmiotami.</w:t>
      </w:r>
    </w:p>
    <w:p w:rsidR="006E547D" w:rsidRPr="00431CEE" w:rsidRDefault="006E547D" w:rsidP="006E547D">
      <w:pPr>
        <w:pStyle w:val="Titrearticle"/>
      </w:pPr>
      <w:r w:rsidRPr="00431CEE">
        <w:t>Artykuł 9</w:t>
      </w:r>
    </w:p>
    <w:p w:rsidR="006E547D" w:rsidRPr="00431CEE" w:rsidRDefault="006E547D" w:rsidP="006E547D">
      <w:pPr>
        <w:pStyle w:val="NormalCentered"/>
      </w:pPr>
      <w:r w:rsidRPr="00431CEE">
        <w:rPr>
          <w:b/>
        </w:rPr>
        <w:t>Uchylenie</w:t>
      </w:r>
    </w:p>
    <w:p w:rsidR="006E547D" w:rsidRPr="00431CEE" w:rsidRDefault="006E547D" w:rsidP="006E547D">
      <w:r w:rsidRPr="00431CEE">
        <w:t>Rozporządzenie (UE) nr</w:t>
      </w:r>
      <w:r w:rsidR="00057488" w:rsidRPr="00431CEE">
        <w:t> </w:t>
      </w:r>
      <w:r w:rsidRPr="00431CEE">
        <w:t>1077/2012 traci moc</w:t>
      </w:r>
      <w:r w:rsidR="00057488" w:rsidRPr="00431CEE">
        <w:t xml:space="preserve"> z dni</w:t>
      </w:r>
      <w:r w:rsidRPr="00431CEE">
        <w:t>em 16 czerwca 2019</w:t>
      </w:r>
      <w:r w:rsidR="00057488" w:rsidRPr="00431CEE">
        <w:t> </w:t>
      </w:r>
      <w:r w:rsidRPr="00431CEE">
        <w:t>r.</w:t>
      </w:r>
    </w:p>
    <w:p w:rsidR="006E547D" w:rsidRPr="00431CEE" w:rsidRDefault="006E547D" w:rsidP="006E547D">
      <w:pPr>
        <w:pStyle w:val="Titrearticle"/>
      </w:pPr>
      <w:r w:rsidRPr="00431CEE">
        <w:t>Artykuł 10</w:t>
      </w:r>
    </w:p>
    <w:p w:rsidR="006E547D" w:rsidRPr="00431CEE" w:rsidRDefault="006E547D" w:rsidP="006E547D">
      <w:pPr>
        <w:pStyle w:val="NormalCentered"/>
        <w:rPr>
          <w:b/>
          <w:bCs/>
        </w:rPr>
      </w:pPr>
      <w:r w:rsidRPr="00431CEE">
        <w:rPr>
          <w:b/>
        </w:rPr>
        <w:t>Wejście</w:t>
      </w:r>
      <w:r w:rsidR="00057488" w:rsidRPr="00431CEE">
        <w:rPr>
          <w:b/>
        </w:rPr>
        <w:t xml:space="preserve"> w życ</w:t>
      </w:r>
      <w:r w:rsidRPr="00431CEE">
        <w:rPr>
          <w:b/>
        </w:rPr>
        <w:t>ie</w:t>
      </w:r>
      <w:r w:rsidR="00057488" w:rsidRPr="00431CEE">
        <w:rPr>
          <w:b/>
        </w:rPr>
        <w:t xml:space="preserve"> i sto</w:t>
      </w:r>
      <w:r w:rsidRPr="00431CEE">
        <w:rPr>
          <w:b/>
        </w:rPr>
        <w:t>sowanie</w:t>
      </w:r>
    </w:p>
    <w:p w:rsidR="006E547D" w:rsidRPr="00431CEE" w:rsidRDefault="006E547D" w:rsidP="006E547D">
      <w:r w:rsidRPr="00431CEE">
        <w:t>Niniejsze rozporządzenie wchodzi</w:t>
      </w:r>
      <w:r w:rsidR="00057488" w:rsidRPr="00431CEE">
        <w:t xml:space="preserve"> w życ</w:t>
      </w:r>
      <w:r w:rsidRPr="00431CEE">
        <w:t>ie dwudziestego dnia po jego opublikowaniu</w:t>
      </w:r>
      <w:r w:rsidR="00057488" w:rsidRPr="00431CEE">
        <w:t xml:space="preserve"> w </w:t>
      </w:r>
      <w:r w:rsidR="00057488" w:rsidRPr="00431CEE">
        <w:rPr>
          <w:i/>
        </w:rPr>
        <w:t>Dzi</w:t>
      </w:r>
      <w:r w:rsidRPr="00431CEE">
        <w:rPr>
          <w:i/>
        </w:rPr>
        <w:t>enniku Urzędowym Unii Europejskiej</w:t>
      </w:r>
      <w:r w:rsidRPr="00431CEE">
        <w:t>.</w:t>
      </w:r>
    </w:p>
    <w:p w:rsidR="006E547D" w:rsidRPr="00431CEE" w:rsidRDefault="006E547D" w:rsidP="006E547D">
      <w:r w:rsidRPr="00431CEE">
        <w:t>Niniejsze rozporządzenie stosuje się od dnia 16 czerwca 2019</w:t>
      </w:r>
      <w:r w:rsidR="00057488" w:rsidRPr="00431CEE">
        <w:t> </w:t>
      </w:r>
      <w:r w:rsidRPr="00431CEE">
        <w:t>r. Jednakże przepisy art.</w:t>
      </w:r>
      <w:r w:rsidR="00057488" w:rsidRPr="00431CEE">
        <w:t> </w:t>
      </w:r>
      <w:r w:rsidRPr="00431CEE">
        <w:t>5 ust.</w:t>
      </w:r>
      <w:r w:rsidR="00057488" w:rsidRPr="00431CEE">
        <w:t> </w:t>
      </w:r>
      <w:r w:rsidRPr="00431CEE">
        <w:t>2 oraz art.</w:t>
      </w:r>
      <w:r w:rsidR="00057488" w:rsidRPr="00431CEE">
        <w:t> </w:t>
      </w:r>
      <w:r w:rsidRPr="00431CEE">
        <w:t>8 ust.</w:t>
      </w:r>
      <w:r w:rsidR="00057488" w:rsidRPr="00431CEE">
        <w:t> </w:t>
      </w:r>
      <w:r w:rsidRPr="00431CEE">
        <w:t>1</w:t>
      </w:r>
      <w:r w:rsidR="00057488" w:rsidRPr="00431CEE">
        <w:t xml:space="preserve"> i 2</w:t>
      </w:r>
      <w:r w:rsidRPr="00431CEE">
        <w:t xml:space="preserve"> stosuje się od dnia 16 czerwca 2020</w:t>
      </w:r>
      <w:r w:rsidR="00057488" w:rsidRPr="00431CEE">
        <w:t> </w:t>
      </w:r>
      <w:r w:rsidRPr="00431CEE">
        <w:t>r.</w:t>
      </w:r>
      <w:r w:rsidR="00057488" w:rsidRPr="00431CEE">
        <w:t xml:space="preserve"> w tyc</w:t>
      </w:r>
      <w:r w:rsidRPr="00431CEE">
        <w:t>h państwach członkowskich, które powiadomiły Agencję</w:t>
      </w:r>
      <w:r w:rsidR="00057488" w:rsidRPr="00431CEE">
        <w:t xml:space="preserve"> i Kom</w:t>
      </w:r>
      <w:r w:rsidRPr="00431CEE">
        <w:t>isję zgodnie</w:t>
      </w:r>
      <w:r w:rsidR="00057488" w:rsidRPr="00431CEE">
        <w:t xml:space="preserve"> z art</w:t>
      </w:r>
      <w:r w:rsidRPr="00431CEE">
        <w:t>.</w:t>
      </w:r>
      <w:r w:rsidR="00057488" w:rsidRPr="00431CEE">
        <w:t> </w:t>
      </w:r>
      <w:r w:rsidRPr="00431CEE">
        <w:t>33 ust.</w:t>
      </w:r>
      <w:r w:rsidR="00057488" w:rsidRPr="00431CEE">
        <w:t> </w:t>
      </w:r>
      <w:r w:rsidRPr="00431CEE">
        <w:t>2 dyrektywy (UE) 2016/798</w:t>
      </w:r>
      <w:r w:rsidR="00057488" w:rsidRPr="00431CEE">
        <w:t xml:space="preserve"> o prz</w:t>
      </w:r>
      <w:r w:rsidRPr="00431CEE">
        <w:t>edłużeniu okresu transpozycji tej dyrektywy.</w:t>
      </w:r>
    </w:p>
    <w:p w:rsidR="006E547D" w:rsidRPr="00431CEE" w:rsidRDefault="006E547D" w:rsidP="006E547D">
      <w:pPr>
        <w:pStyle w:val="Applicationdirecte"/>
      </w:pPr>
      <w:r w:rsidRPr="00431CEE">
        <w:t>Niniejsze rozporządzenie wiąże</w:t>
      </w:r>
      <w:r w:rsidR="00057488" w:rsidRPr="00431CEE">
        <w:t xml:space="preserve"> w cał</w:t>
      </w:r>
      <w:r w:rsidRPr="00431CEE">
        <w:t>ości</w:t>
      </w:r>
      <w:r w:rsidR="00057488" w:rsidRPr="00431CEE">
        <w:t xml:space="preserve"> i jes</w:t>
      </w:r>
      <w:r w:rsidRPr="00431CEE">
        <w:t>t bezpośrednio stosowane we wszystkich państwach członkowskich.</w:t>
      </w:r>
    </w:p>
    <w:p w:rsidR="006E547D" w:rsidRPr="00431CEE" w:rsidRDefault="00057488" w:rsidP="00057488">
      <w:pPr>
        <w:pStyle w:val="Fait"/>
      </w:pPr>
      <w:r w:rsidRPr="00431CEE">
        <w:t xml:space="preserve">Sporządzono w Brukseli dnia </w:t>
      </w:r>
      <w:r w:rsidRPr="00431CEE">
        <w:rPr>
          <w:rStyle w:val="Marker2"/>
        </w:rPr>
        <w:t>[…]</w:t>
      </w:r>
      <w:r w:rsidRPr="00431CEE">
        <w:t xml:space="preserve"> r.</w:t>
      </w:r>
    </w:p>
    <w:p w:rsidR="006E547D" w:rsidRPr="00431CEE" w:rsidRDefault="006E547D" w:rsidP="006E547D">
      <w:pPr>
        <w:pStyle w:val="Institutionquisigne"/>
      </w:pPr>
      <w:r w:rsidRPr="00431CEE">
        <w:tab/>
        <w:t>W imieniu Komisji</w:t>
      </w:r>
    </w:p>
    <w:p w:rsidR="006E547D" w:rsidRPr="00431CEE" w:rsidRDefault="006E547D" w:rsidP="006E547D">
      <w:pPr>
        <w:pStyle w:val="Personnequisigne"/>
      </w:pPr>
      <w:r w:rsidRPr="00431CEE">
        <w:tab/>
        <w:t>Przewodniczący</w:t>
      </w:r>
      <w:r w:rsidRPr="00431CEE">
        <w:br/>
      </w:r>
      <w:r w:rsidRPr="00431CEE">
        <w:tab/>
        <w:t xml:space="preserve">Jean-Claude </w:t>
      </w:r>
      <w:proofErr w:type="spellStart"/>
      <w:r w:rsidRPr="00431CEE">
        <w:t>Juncker</w:t>
      </w:r>
      <w:proofErr w:type="spellEnd"/>
    </w:p>
    <w:sectPr w:rsidR="006E547D" w:rsidRPr="00431CEE" w:rsidSect="00431CE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7D" w:rsidRDefault="006E547D" w:rsidP="006E547D">
      <w:pPr>
        <w:spacing w:before="0" w:after="0"/>
      </w:pPr>
      <w:r>
        <w:separator/>
      </w:r>
    </w:p>
  </w:endnote>
  <w:endnote w:type="continuationSeparator" w:id="0">
    <w:p w:rsidR="006E547D" w:rsidRDefault="006E547D" w:rsidP="006E54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91" w:rsidRDefault="00AE3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E7" w:rsidRPr="00431CEE" w:rsidRDefault="00431CEE" w:rsidP="00431CEE">
    <w:pPr>
      <w:pStyle w:val="Footer"/>
      <w:rPr>
        <w:rFonts w:ascii="Arial" w:hAnsi="Arial" w:cs="Arial"/>
        <w:b/>
        <w:sz w:val="48"/>
      </w:rPr>
    </w:pPr>
    <w:r w:rsidRPr="00431CEE">
      <w:rPr>
        <w:rFonts w:ascii="Arial" w:hAnsi="Arial" w:cs="Arial"/>
        <w:b/>
        <w:sz w:val="48"/>
      </w:rPr>
      <w:t>PL</w:t>
    </w:r>
    <w:r w:rsidRPr="00431CEE">
      <w:rPr>
        <w:rFonts w:ascii="Arial" w:hAnsi="Arial" w:cs="Arial"/>
        <w:b/>
        <w:sz w:val="48"/>
      </w:rPr>
      <w:tab/>
    </w:r>
    <w:r w:rsidRPr="00431CEE">
      <w:rPr>
        <w:rFonts w:ascii="Arial" w:hAnsi="Arial" w:cs="Arial"/>
        <w:b/>
        <w:sz w:val="48"/>
      </w:rPr>
      <w:tab/>
    </w:r>
    <w:fldSimple w:instr=" DOCVARIABLE &quot;LW_Confidence&quot; \* MERGEFORMAT ">
      <w:r>
        <w:t xml:space="preserve"> </w:t>
      </w:r>
    </w:fldSimple>
    <w:r w:rsidRPr="00431CEE">
      <w:tab/>
    </w:r>
    <w:proofErr w:type="spellStart"/>
    <w:r w:rsidRPr="00431CEE">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91" w:rsidRDefault="00AE32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88" w:rsidRPr="00431CEE" w:rsidRDefault="00431CEE" w:rsidP="00431CEE">
    <w:pPr>
      <w:pStyle w:val="Footer"/>
      <w:rPr>
        <w:rFonts w:ascii="Arial" w:hAnsi="Arial" w:cs="Arial"/>
        <w:b/>
        <w:sz w:val="48"/>
      </w:rPr>
    </w:pPr>
    <w:r w:rsidRPr="00431CEE">
      <w:rPr>
        <w:rFonts w:ascii="Arial" w:hAnsi="Arial" w:cs="Arial"/>
        <w:b/>
        <w:sz w:val="48"/>
      </w:rPr>
      <w:t>PL</w:t>
    </w:r>
    <w:r w:rsidRPr="00431CEE">
      <w:rPr>
        <w:rFonts w:ascii="Arial" w:hAnsi="Arial" w:cs="Arial"/>
        <w:b/>
        <w:sz w:val="48"/>
      </w:rPr>
      <w:tab/>
    </w:r>
    <w:r>
      <w:fldChar w:fldCharType="begin"/>
    </w:r>
    <w:r>
      <w:instrText xml:space="preserve"> PAGE  \* MERGEFORMAT </w:instrText>
    </w:r>
    <w:r>
      <w:fldChar w:fldCharType="separate"/>
    </w:r>
    <w:r w:rsidR="00AE3291">
      <w:rPr>
        <w:noProof/>
      </w:rPr>
      <w:t>7</w:t>
    </w:r>
    <w:r>
      <w:fldChar w:fldCharType="end"/>
    </w:r>
    <w:r>
      <w:tab/>
    </w:r>
    <w:fldSimple w:instr=" DOCVARIABLE &quot;LW_Confidence&quot; \* MERGEFORMAT ">
      <w:r>
        <w:t xml:space="preserve"> </w:t>
      </w:r>
    </w:fldSimple>
    <w:r w:rsidRPr="00431CEE">
      <w:tab/>
    </w:r>
    <w:r w:rsidRPr="00431CEE">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EE" w:rsidRPr="00431CEE" w:rsidRDefault="00431CEE" w:rsidP="0043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7D" w:rsidRDefault="006E547D" w:rsidP="006E547D">
      <w:pPr>
        <w:spacing w:before="0" w:after="0"/>
      </w:pPr>
      <w:r>
        <w:separator/>
      </w:r>
    </w:p>
  </w:footnote>
  <w:footnote w:type="continuationSeparator" w:id="0">
    <w:p w:rsidR="006E547D" w:rsidRDefault="006E547D" w:rsidP="006E547D">
      <w:pPr>
        <w:spacing w:before="0" w:after="0"/>
      </w:pPr>
      <w:r>
        <w:continuationSeparator/>
      </w:r>
    </w:p>
  </w:footnote>
  <w:footnote w:id="1">
    <w:p w:rsidR="006E547D" w:rsidRPr="002717E7" w:rsidRDefault="006E547D" w:rsidP="006E547D">
      <w:pPr>
        <w:pStyle w:val="FootnoteText"/>
      </w:pPr>
      <w:r>
        <w:rPr>
          <w:rStyle w:val="FootnoteReference"/>
        </w:rPr>
        <w:footnoteRef/>
      </w:r>
      <w:r w:rsidRPr="002717E7">
        <w:tab/>
        <w:t xml:space="preserve">Dz.U. L </w:t>
      </w:r>
      <w:r w:rsidRPr="002737E6">
        <w:t>138</w:t>
      </w:r>
      <w:r w:rsidR="00057488" w:rsidRPr="002717E7">
        <w:t xml:space="preserve"> z</w:t>
      </w:r>
      <w:r w:rsidR="00057488">
        <w:t> </w:t>
      </w:r>
      <w:r w:rsidR="00057488" w:rsidRPr="002737E6">
        <w:t>2</w:t>
      </w:r>
      <w:r w:rsidRPr="002737E6">
        <w:t>6</w:t>
      </w:r>
      <w:r w:rsidRPr="002717E7">
        <w:t>.</w:t>
      </w:r>
      <w:r w:rsidRPr="002737E6">
        <w:t>5</w:t>
      </w:r>
      <w:r w:rsidRPr="002717E7">
        <w:t>.</w:t>
      </w:r>
      <w:r w:rsidRPr="002737E6">
        <w:t>2016</w:t>
      </w:r>
      <w:r w:rsidRPr="002717E7">
        <w:t xml:space="preserve">, </w:t>
      </w:r>
      <w:proofErr w:type="gramStart"/>
      <w:r w:rsidRPr="002717E7">
        <w:t>s</w:t>
      </w:r>
      <w:proofErr w:type="gramEnd"/>
      <w:r w:rsidRPr="002717E7">
        <w:t xml:space="preserve">. </w:t>
      </w:r>
      <w:r w:rsidRPr="002737E6">
        <w:t>102</w:t>
      </w:r>
      <w:r w:rsidRPr="002717E7">
        <w:t>.</w:t>
      </w:r>
    </w:p>
  </w:footnote>
  <w:footnote w:id="2">
    <w:p w:rsidR="006E547D" w:rsidRPr="002717E7" w:rsidRDefault="006E547D" w:rsidP="006E547D">
      <w:pPr>
        <w:pStyle w:val="FootnoteText"/>
      </w:pPr>
      <w:r>
        <w:rPr>
          <w:rStyle w:val="FootnoteReference"/>
        </w:rPr>
        <w:footnoteRef/>
      </w:r>
      <w:r w:rsidRPr="002717E7">
        <w:tab/>
        <w:t>Decyzja wykonawcza Komisji</w:t>
      </w:r>
      <w:r w:rsidR="00057488" w:rsidRPr="002717E7">
        <w:t xml:space="preserve"> z</w:t>
      </w:r>
      <w:r w:rsidR="00057488">
        <w:t> </w:t>
      </w:r>
      <w:r w:rsidR="00057488" w:rsidRPr="002717E7">
        <w:t>dni</w:t>
      </w:r>
      <w:r w:rsidRPr="002717E7">
        <w:t xml:space="preserve">a </w:t>
      </w:r>
      <w:r w:rsidRPr="002737E6">
        <w:t>1</w:t>
      </w:r>
      <w:r w:rsidRPr="002717E7">
        <w:t xml:space="preserve"> września </w:t>
      </w:r>
      <w:r w:rsidRPr="002737E6">
        <w:t>2016</w:t>
      </w:r>
      <w:r w:rsidR="00057488" w:rsidRPr="00057488">
        <w:t> </w:t>
      </w:r>
      <w:r w:rsidRPr="00057488">
        <w:t>r.</w:t>
      </w:r>
      <w:r w:rsidR="00057488" w:rsidRPr="002717E7">
        <w:t xml:space="preserve"> w</w:t>
      </w:r>
      <w:r w:rsidR="00057488">
        <w:t> </w:t>
      </w:r>
      <w:r w:rsidR="00057488" w:rsidRPr="002717E7">
        <w:t>spr</w:t>
      </w:r>
      <w:r w:rsidRPr="002717E7">
        <w:t>awie udzielenia Agencji Kolejowej Unii Europejskiej upoważnienia do opracowania projektu zmian we wspólnych metodach oceny bezpieczeństwa</w:t>
      </w:r>
      <w:r w:rsidR="00057488" w:rsidRPr="002717E7">
        <w:t xml:space="preserve"> w</w:t>
      </w:r>
      <w:r w:rsidR="00057488">
        <w:t> </w:t>
      </w:r>
      <w:r w:rsidR="00057488" w:rsidRPr="002717E7">
        <w:t>odn</w:t>
      </w:r>
      <w:r w:rsidRPr="002717E7">
        <w:t>iesieniu do oceny zgodności i we wspólnej metodzie oceny bezpieczeństwa</w:t>
      </w:r>
      <w:r w:rsidR="00057488" w:rsidRPr="002717E7">
        <w:t xml:space="preserve"> w</w:t>
      </w:r>
      <w:r w:rsidR="00057488">
        <w:t> </w:t>
      </w:r>
      <w:r w:rsidR="00057488" w:rsidRPr="002717E7">
        <w:t>odn</w:t>
      </w:r>
      <w:r w:rsidRPr="002717E7">
        <w:t>iesieniu do nadzoru oraz uchylająca decyzję wykonawczą C(</w:t>
      </w:r>
      <w:r w:rsidRPr="002737E6">
        <w:t>2014</w:t>
      </w:r>
      <w:r w:rsidRPr="002717E7">
        <w:t xml:space="preserve">) </w:t>
      </w:r>
      <w:r w:rsidRPr="002737E6">
        <w:t>1649</w:t>
      </w:r>
      <w:r w:rsidRPr="002717E7">
        <w:t xml:space="preserve"> </w:t>
      </w:r>
      <w:proofErr w:type="spellStart"/>
      <w:r w:rsidRPr="002717E7">
        <w:t>final</w:t>
      </w:r>
      <w:proofErr w:type="spellEnd"/>
      <w:r w:rsidRPr="002717E7">
        <w:t>, C(</w:t>
      </w:r>
      <w:r w:rsidRPr="002737E6">
        <w:t>2016</w:t>
      </w:r>
      <w:r w:rsidRPr="002717E7">
        <w:t xml:space="preserve">) </w:t>
      </w:r>
      <w:r w:rsidRPr="002737E6">
        <w:t>5504</w:t>
      </w:r>
      <w:r w:rsidRPr="002717E7">
        <w:t xml:space="preserve"> </w:t>
      </w:r>
      <w:proofErr w:type="spellStart"/>
      <w:r w:rsidRPr="002717E7">
        <w:t>final</w:t>
      </w:r>
      <w:proofErr w:type="spellEnd"/>
      <w:r w:rsidRPr="002717E7">
        <w:t>.</w:t>
      </w:r>
    </w:p>
  </w:footnote>
  <w:footnote w:id="3">
    <w:p w:rsidR="006E547D" w:rsidRPr="002717E7" w:rsidRDefault="006E547D" w:rsidP="006E547D">
      <w:pPr>
        <w:pStyle w:val="FootnoteText"/>
      </w:pPr>
      <w:r>
        <w:rPr>
          <w:rStyle w:val="FootnoteReference"/>
        </w:rPr>
        <w:footnoteRef/>
      </w:r>
      <w:r w:rsidRPr="002717E7">
        <w:tab/>
        <w:t xml:space="preserve">Rozporządzenie Komisji (UE) </w:t>
      </w:r>
      <w:r w:rsidRPr="00057488">
        <w:t>nr</w:t>
      </w:r>
      <w:r w:rsidR="00057488" w:rsidRPr="00057488">
        <w:t> </w:t>
      </w:r>
      <w:r w:rsidRPr="002737E6">
        <w:t>1158</w:t>
      </w:r>
      <w:r w:rsidRPr="002717E7">
        <w:t>/</w:t>
      </w:r>
      <w:r w:rsidRPr="002737E6">
        <w:t>2010</w:t>
      </w:r>
      <w:r w:rsidR="00057488" w:rsidRPr="002717E7">
        <w:t xml:space="preserve"> z</w:t>
      </w:r>
      <w:r w:rsidR="00057488">
        <w:t> </w:t>
      </w:r>
      <w:r w:rsidR="00057488" w:rsidRPr="002717E7">
        <w:t>dni</w:t>
      </w:r>
      <w:r w:rsidRPr="002717E7">
        <w:t xml:space="preserve">a </w:t>
      </w:r>
      <w:r w:rsidRPr="002737E6">
        <w:t>9</w:t>
      </w:r>
      <w:r w:rsidRPr="002717E7">
        <w:t xml:space="preserve"> grudnia </w:t>
      </w:r>
      <w:r w:rsidRPr="002737E6">
        <w:t>2010</w:t>
      </w:r>
      <w:r w:rsidR="00057488" w:rsidRPr="00057488">
        <w:t> </w:t>
      </w:r>
      <w:r w:rsidRPr="00057488">
        <w:t>r.</w:t>
      </w:r>
      <w:r w:rsidR="00057488" w:rsidRPr="002717E7">
        <w:t xml:space="preserve"> w</w:t>
      </w:r>
      <w:r w:rsidR="00057488">
        <w:t> </w:t>
      </w:r>
      <w:r w:rsidR="00057488" w:rsidRPr="002717E7">
        <w:t>spr</w:t>
      </w:r>
      <w:r w:rsidRPr="002717E7">
        <w:t>awie wspólnej metody oceny bezpieczeństwa</w:t>
      </w:r>
      <w:r w:rsidR="00057488" w:rsidRPr="002717E7">
        <w:t xml:space="preserve"> w</w:t>
      </w:r>
      <w:r w:rsidR="00057488">
        <w:t> </w:t>
      </w:r>
      <w:r w:rsidR="00057488" w:rsidRPr="002717E7">
        <w:t>odn</w:t>
      </w:r>
      <w:r w:rsidRPr="002717E7">
        <w:t>iesieniu do zgodności</w:t>
      </w:r>
      <w:r w:rsidR="00057488" w:rsidRPr="002717E7">
        <w:t xml:space="preserve"> z</w:t>
      </w:r>
      <w:r w:rsidR="00057488">
        <w:t> </w:t>
      </w:r>
      <w:r w:rsidR="00057488" w:rsidRPr="002717E7">
        <w:t>wym</w:t>
      </w:r>
      <w:r w:rsidRPr="002717E7">
        <w:t xml:space="preserve">ogami dotyczącymi uzyskania kolejowych certyfikatów bezpieczeństwa, Dz.U. L </w:t>
      </w:r>
      <w:r w:rsidRPr="002737E6">
        <w:t>326</w:t>
      </w:r>
      <w:r w:rsidR="00057488" w:rsidRPr="002717E7">
        <w:t xml:space="preserve"> z</w:t>
      </w:r>
      <w:r w:rsidR="00057488">
        <w:t> </w:t>
      </w:r>
      <w:r w:rsidR="00057488" w:rsidRPr="002737E6">
        <w:t>1</w:t>
      </w:r>
      <w:r w:rsidRPr="002737E6">
        <w:t>0</w:t>
      </w:r>
      <w:r w:rsidRPr="002717E7">
        <w:t>.</w:t>
      </w:r>
      <w:r w:rsidRPr="002737E6">
        <w:t>12</w:t>
      </w:r>
      <w:r w:rsidRPr="002717E7">
        <w:t>.</w:t>
      </w:r>
      <w:r w:rsidRPr="002737E6">
        <w:t>2010</w:t>
      </w:r>
      <w:r w:rsidRPr="002717E7">
        <w:t xml:space="preserve">, </w:t>
      </w:r>
      <w:proofErr w:type="gramStart"/>
      <w:r w:rsidRPr="002717E7">
        <w:t>s</w:t>
      </w:r>
      <w:proofErr w:type="gramEnd"/>
      <w:r w:rsidRPr="002717E7">
        <w:t xml:space="preserve">. </w:t>
      </w:r>
      <w:r w:rsidRPr="002737E6">
        <w:t>11</w:t>
      </w:r>
      <w:r w:rsidRPr="002717E7">
        <w:t>.</w:t>
      </w:r>
    </w:p>
  </w:footnote>
  <w:footnote w:id="4">
    <w:p w:rsidR="006E547D" w:rsidRPr="002717E7" w:rsidRDefault="006E547D" w:rsidP="006E547D">
      <w:pPr>
        <w:pStyle w:val="FootnoteText"/>
      </w:pPr>
      <w:r>
        <w:rPr>
          <w:rStyle w:val="FootnoteReference"/>
        </w:rPr>
        <w:footnoteRef/>
      </w:r>
      <w:r w:rsidRPr="002717E7">
        <w:tab/>
        <w:t xml:space="preserve">Rozporządzenie Komisji (UE) </w:t>
      </w:r>
      <w:r w:rsidRPr="00057488">
        <w:t>nr</w:t>
      </w:r>
      <w:r w:rsidR="00057488" w:rsidRPr="00057488">
        <w:t> </w:t>
      </w:r>
      <w:r w:rsidRPr="002737E6">
        <w:t>1169</w:t>
      </w:r>
      <w:r w:rsidRPr="002717E7">
        <w:t>/</w:t>
      </w:r>
      <w:r w:rsidRPr="002737E6">
        <w:t>2010</w:t>
      </w:r>
      <w:r w:rsidR="00057488" w:rsidRPr="002717E7">
        <w:t xml:space="preserve"> z</w:t>
      </w:r>
      <w:r w:rsidR="00057488">
        <w:t> </w:t>
      </w:r>
      <w:r w:rsidR="00057488" w:rsidRPr="002717E7">
        <w:t>dni</w:t>
      </w:r>
      <w:r w:rsidRPr="002717E7">
        <w:t xml:space="preserve">a </w:t>
      </w:r>
      <w:r w:rsidRPr="002737E6">
        <w:t>10</w:t>
      </w:r>
      <w:r w:rsidRPr="002717E7">
        <w:t xml:space="preserve"> grudnia </w:t>
      </w:r>
      <w:r w:rsidRPr="002737E6">
        <w:t>2010</w:t>
      </w:r>
      <w:r w:rsidR="00057488" w:rsidRPr="00057488">
        <w:t> </w:t>
      </w:r>
      <w:r w:rsidRPr="00057488">
        <w:t>r.</w:t>
      </w:r>
      <w:r w:rsidR="00057488" w:rsidRPr="002717E7">
        <w:t xml:space="preserve"> w</w:t>
      </w:r>
      <w:r w:rsidR="00057488">
        <w:t> </w:t>
      </w:r>
      <w:r w:rsidR="00057488" w:rsidRPr="002717E7">
        <w:t>spr</w:t>
      </w:r>
      <w:r w:rsidRPr="002717E7">
        <w:t>awie wspólnej metody oceny bezpieczeństwa</w:t>
      </w:r>
      <w:r w:rsidR="00057488" w:rsidRPr="002717E7">
        <w:t xml:space="preserve"> w</w:t>
      </w:r>
      <w:r w:rsidR="00057488">
        <w:t> </w:t>
      </w:r>
      <w:r w:rsidR="00057488" w:rsidRPr="002717E7">
        <w:t>odn</w:t>
      </w:r>
      <w:r w:rsidRPr="002717E7">
        <w:t>iesieniu do zgodności</w:t>
      </w:r>
      <w:r w:rsidR="00057488" w:rsidRPr="002717E7">
        <w:t xml:space="preserve"> z</w:t>
      </w:r>
      <w:r w:rsidR="00057488">
        <w:t> </w:t>
      </w:r>
      <w:r w:rsidR="00057488" w:rsidRPr="002717E7">
        <w:t>wym</w:t>
      </w:r>
      <w:r w:rsidRPr="002717E7">
        <w:t>ogami dotyczącymi uzyskania kolejowych autoryzacji</w:t>
      </w:r>
      <w:r w:rsidR="00057488" w:rsidRPr="002717E7">
        <w:t xml:space="preserve"> w</w:t>
      </w:r>
      <w:r w:rsidR="00057488">
        <w:t> </w:t>
      </w:r>
      <w:r w:rsidR="00057488" w:rsidRPr="002717E7">
        <w:t>zak</w:t>
      </w:r>
      <w:r w:rsidRPr="002717E7">
        <w:t>resie bezpieczeństwa</w:t>
      </w:r>
      <w:proofErr w:type="gramStart"/>
      <w:r w:rsidRPr="002717E7">
        <w:t>, Dz</w:t>
      </w:r>
      <w:proofErr w:type="gramEnd"/>
      <w:r w:rsidRPr="002717E7">
        <w:t xml:space="preserve">.U. L </w:t>
      </w:r>
      <w:r w:rsidRPr="002737E6">
        <w:t>327</w:t>
      </w:r>
      <w:r w:rsidR="00057488" w:rsidRPr="002717E7">
        <w:t xml:space="preserve"> z</w:t>
      </w:r>
      <w:r w:rsidR="00057488">
        <w:t> </w:t>
      </w:r>
      <w:r w:rsidR="00057488" w:rsidRPr="002737E6">
        <w:t>1</w:t>
      </w:r>
      <w:r w:rsidRPr="002737E6">
        <w:t>1</w:t>
      </w:r>
      <w:r w:rsidRPr="002717E7">
        <w:t>.</w:t>
      </w:r>
      <w:r w:rsidRPr="002737E6">
        <w:t>12</w:t>
      </w:r>
      <w:r w:rsidRPr="002717E7">
        <w:t>.</w:t>
      </w:r>
      <w:r w:rsidRPr="002737E6">
        <w:t>2010</w:t>
      </w:r>
      <w:r w:rsidRPr="002717E7">
        <w:t xml:space="preserve">, </w:t>
      </w:r>
      <w:proofErr w:type="gramStart"/>
      <w:r w:rsidRPr="002717E7">
        <w:t>s</w:t>
      </w:r>
      <w:proofErr w:type="gramEnd"/>
      <w:r w:rsidRPr="002717E7">
        <w:t xml:space="preserve">. </w:t>
      </w:r>
      <w:r w:rsidRPr="002737E6">
        <w:t>13</w:t>
      </w:r>
      <w:r w:rsidRPr="002717E7">
        <w:t>.</w:t>
      </w:r>
    </w:p>
  </w:footnote>
  <w:footnote w:id="5">
    <w:p w:rsidR="006E547D" w:rsidRPr="002717E7" w:rsidRDefault="006E547D" w:rsidP="006E547D">
      <w:pPr>
        <w:pStyle w:val="FootnoteText"/>
      </w:pPr>
      <w:r>
        <w:rPr>
          <w:rStyle w:val="FootnoteReference"/>
        </w:rPr>
        <w:footnoteRef/>
      </w:r>
      <w:r w:rsidRPr="002717E7">
        <w:tab/>
        <w:t xml:space="preserve">Rozporządzenie Komisji (UE) </w:t>
      </w:r>
      <w:r w:rsidRPr="00057488">
        <w:t>nr</w:t>
      </w:r>
      <w:r w:rsidR="00057488" w:rsidRPr="00057488">
        <w:t> </w:t>
      </w:r>
      <w:r w:rsidRPr="002737E6">
        <w:t>1077</w:t>
      </w:r>
      <w:r w:rsidRPr="002717E7">
        <w:t>/</w:t>
      </w:r>
      <w:r w:rsidRPr="002737E6">
        <w:t>2012</w:t>
      </w:r>
      <w:r w:rsidR="00057488" w:rsidRPr="002717E7">
        <w:t xml:space="preserve"> z</w:t>
      </w:r>
      <w:r w:rsidR="00057488">
        <w:t> </w:t>
      </w:r>
      <w:r w:rsidR="00057488" w:rsidRPr="002717E7">
        <w:t>dni</w:t>
      </w:r>
      <w:r w:rsidRPr="002717E7">
        <w:t xml:space="preserve">a </w:t>
      </w:r>
      <w:r w:rsidRPr="002737E6">
        <w:t>16</w:t>
      </w:r>
      <w:r w:rsidRPr="002717E7">
        <w:t xml:space="preserve"> listopada </w:t>
      </w:r>
      <w:r w:rsidRPr="002737E6">
        <w:t>2012</w:t>
      </w:r>
      <w:r w:rsidR="00057488" w:rsidRPr="00057488">
        <w:t> </w:t>
      </w:r>
      <w:r w:rsidRPr="00057488">
        <w:t>r.</w:t>
      </w:r>
      <w:r w:rsidR="00057488" w:rsidRPr="002717E7">
        <w:t xml:space="preserve"> w</w:t>
      </w:r>
      <w:r w:rsidR="00057488">
        <w:t> </w:t>
      </w:r>
      <w:r w:rsidR="00057488" w:rsidRPr="002717E7">
        <w:t>spr</w:t>
      </w:r>
      <w:r w:rsidRPr="002717E7">
        <w:t>awie wspólnej metody oceny bezpieczeństwa</w:t>
      </w:r>
      <w:r w:rsidR="00057488" w:rsidRPr="002717E7">
        <w:t xml:space="preserve"> w</w:t>
      </w:r>
      <w:r w:rsidR="00057488">
        <w:t> </w:t>
      </w:r>
      <w:r w:rsidR="00057488" w:rsidRPr="002717E7">
        <w:t>odn</w:t>
      </w:r>
      <w:r w:rsidRPr="002717E7">
        <w:t xml:space="preserve">iesieniu do nadzoru sprawowanego przez krajowe organy ds. bezpieczeństwa po wydaniu certyfikatu bezpieczeństwa lub autoryzacji bezpieczeństwa, Dz.U. L </w:t>
      </w:r>
      <w:r w:rsidRPr="002737E6">
        <w:t>320</w:t>
      </w:r>
      <w:r w:rsidR="00057488" w:rsidRPr="002717E7">
        <w:t xml:space="preserve"> z</w:t>
      </w:r>
      <w:r w:rsidR="00057488">
        <w:t> </w:t>
      </w:r>
      <w:r w:rsidR="00057488" w:rsidRPr="002737E6">
        <w:t>1</w:t>
      </w:r>
      <w:r w:rsidRPr="002737E6">
        <w:t>7</w:t>
      </w:r>
      <w:r w:rsidRPr="002717E7">
        <w:t>.</w:t>
      </w:r>
      <w:r w:rsidRPr="002737E6">
        <w:t>11</w:t>
      </w:r>
      <w:r w:rsidRPr="002717E7">
        <w:t>.</w:t>
      </w:r>
      <w:r w:rsidRPr="002737E6">
        <w:t>2012</w:t>
      </w:r>
      <w:r w:rsidRPr="002717E7">
        <w:t xml:space="preserve">, </w:t>
      </w:r>
      <w:proofErr w:type="gramStart"/>
      <w:r w:rsidRPr="002717E7">
        <w:t>s</w:t>
      </w:r>
      <w:proofErr w:type="gramEnd"/>
      <w:r w:rsidRPr="002717E7">
        <w:t xml:space="preserve">. </w:t>
      </w:r>
      <w:r w:rsidRPr="002737E6">
        <w:t>3</w:t>
      </w:r>
      <w:r w:rsidRPr="002717E7">
        <w:t>.</w:t>
      </w:r>
    </w:p>
  </w:footnote>
  <w:footnote w:id="6">
    <w:p w:rsidR="006E547D" w:rsidRPr="002717E7" w:rsidRDefault="006E547D" w:rsidP="006E547D">
      <w:pPr>
        <w:pStyle w:val="FootnoteText"/>
      </w:pPr>
      <w:r>
        <w:rPr>
          <w:rStyle w:val="FootnoteReference"/>
        </w:rPr>
        <w:footnoteRef/>
      </w:r>
      <w:r w:rsidRPr="002717E7">
        <w:tab/>
        <w:t>Dyrektywa Parlamentu Europejskiego</w:t>
      </w:r>
      <w:r w:rsidR="00057488" w:rsidRPr="002717E7">
        <w:t xml:space="preserve"> i</w:t>
      </w:r>
      <w:r w:rsidR="00057488">
        <w:t> </w:t>
      </w:r>
      <w:r w:rsidR="00057488" w:rsidRPr="002717E7">
        <w:t>Rad</w:t>
      </w:r>
      <w:r w:rsidRPr="002717E7">
        <w:t xml:space="preserve">y </w:t>
      </w:r>
      <w:r w:rsidRPr="002737E6">
        <w:t>2012</w:t>
      </w:r>
      <w:r w:rsidRPr="002717E7">
        <w:t>/</w:t>
      </w:r>
      <w:r w:rsidRPr="002737E6">
        <w:t>34</w:t>
      </w:r>
      <w:r w:rsidRPr="002717E7">
        <w:t>/UE</w:t>
      </w:r>
      <w:r w:rsidR="00057488" w:rsidRPr="002717E7">
        <w:t xml:space="preserve"> z</w:t>
      </w:r>
      <w:r w:rsidR="00057488">
        <w:t> </w:t>
      </w:r>
      <w:r w:rsidR="00057488" w:rsidRPr="002717E7">
        <w:t>dni</w:t>
      </w:r>
      <w:r w:rsidRPr="002717E7">
        <w:t xml:space="preserve">a </w:t>
      </w:r>
      <w:r w:rsidRPr="002737E6">
        <w:t>21</w:t>
      </w:r>
      <w:r w:rsidRPr="002717E7">
        <w:t xml:space="preserve"> listopada </w:t>
      </w:r>
      <w:r w:rsidRPr="002737E6">
        <w:t>2012</w:t>
      </w:r>
      <w:r w:rsidR="00057488" w:rsidRPr="00057488">
        <w:t> </w:t>
      </w:r>
      <w:r w:rsidRPr="00057488">
        <w:t>r.</w:t>
      </w:r>
      <w:r w:rsidR="00057488" w:rsidRPr="002717E7">
        <w:t xml:space="preserve"> w</w:t>
      </w:r>
      <w:r w:rsidR="00057488">
        <w:t> </w:t>
      </w:r>
      <w:r w:rsidR="00057488" w:rsidRPr="002717E7">
        <w:t>spr</w:t>
      </w:r>
      <w:r w:rsidRPr="002717E7">
        <w:t>awie utworzenia jednolitego europejskiego obszaru kole</w:t>
      </w:r>
      <w:r w:rsidR="002737E6">
        <w:t xml:space="preserve">jowego, </w:t>
      </w:r>
      <w:r w:rsidRPr="002717E7">
        <w:t xml:space="preserve">Dz.U. L </w:t>
      </w:r>
      <w:r w:rsidRPr="002737E6">
        <w:t>343</w:t>
      </w:r>
      <w:r w:rsidR="00057488" w:rsidRPr="002717E7">
        <w:t xml:space="preserve"> z</w:t>
      </w:r>
      <w:r w:rsidR="00057488">
        <w:t> </w:t>
      </w:r>
      <w:r w:rsidR="00057488" w:rsidRPr="002737E6">
        <w:t>1</w:t>
      </w:r>
      <w:r w:rsidRPr="002737E6">
        <w:t>4</w:t>
      </w:r>
      <w:r w:rsidRPr="002717E7">
        <w:t>.</w:t>
      </w:r>
      <w:r w:rsidRPr="002737E6">
        <w:t>12</w:t>
      </w:r>
      <w:r w:rsidRPr="002717E7">
        <w:t>.</w:t>
      </w:r>
      <w:r w:rsidRPr="002737E6">
        <w:t>2012</w:t>
      </w:r>
      <w:r w:rsidRPr="002717E7">
        <w:t xml:space="preserve">, </w:t>
      </w:r>
      <w:proofErr w:type="gramStart"/>
      <w:r w:rsidRPr="002717E7">
        <w:t>s</w:t>
      </w:r>
      <w:proofErr w:type="gramEnd"/>
      <w:r w:rsidRPr="002717E7">
        <w:t xml:space="preserve">. </w:t>
      </w:r>
      <w:r w:rsidRPr="002737E6">
        <w:t>32</w:t>
      </w:r>
      <w:r w:rsidRPr="002717E7">
        <w:t>.</w:t>
      </w:r>
    </w:p>
  </w:footnote>
  <w:footnote w:id="7">
    <w:p w:rsidR="006E547D" w:rsidRPr="002717E7" w:rsidRDefault="006E547D" w:rsidP="006E547D">
      <w:pPr>
        <w:pStyle w:val="FootnoteText"/>
      </w:pPr>
      <w:r>
        <w:rPr>
          <w:rStyle w:val="FootnoteReference"/>
        </w:rPr>
        <w:footnoteRef/>
      </w:r>
      <w:r w:rsidRPr="002717E7">
        <w:tab/>
        <w:t xml:space="preserve">Dyrektywa </w:t>
      </w:r>
      <w:r w:rsidRPr="002737E6">
        <w:t>2004</w:t>
      </w:r>
      <w:r w:rsidRPr="002717E7">
        <w:t>/</w:t>
      </w:r>
      <w:r w:rsidRPr="002737E6">
        <w:t>49</w:t>
      </w:r>
      <w:r w:rsidRPr="002717E7">
        <w:t>/WE Parlamentu Europejskiego</w:t>
      </w:r>
      <w:r w:rsidR="00057488" w:rsidRPr="002717E7">
        <w:t xml:space="preserve"> i</w:t>
      </w:r>
      <w:r w:rsidR="00057488">
        <w:t> </w:t>
      </w:r>
      <w:r w:rsidR="00057488" w:rsidRPr="002717E7">
        <w:t>Rad</w:t>
      </w:r>
      <w:r w:rsidRPr="002717E7">
        <w:t>y</w:t>
      </w:r>
      <w:r w:rsidR="00057488" w:rsidRPr="002717E7">
        <w:t xml:space="preserve"> z</w:t>
      </w:r>
      <w:r w:rsidR="00057488">
        <w:t> </w:t>
      </w:r>
      <w:r w:rsidR="00057488" w:rsidRPr="002717E7">
        <w:t>dni</w:t>
      </w:r>
      <w:r w:rsidRPr="002717E7">
        <w:t xml:space="preserve">a </w:t>
      </w:r>
      <w:r w:rsidRPr="002737E6">
        <w:t>29</w:t>
      </w:r>
      <w:r w:rsidRPr="002717E7">
        <w:t xml:space="preserve"> kwietnia </w:t>
      </w:r>
      <w:r w:rsidRPr="002737E6">
        <w:t>2004</w:t>
      </w:r>
      <w:r w:rsidRPr="002717E7">
        <w:t> r.</w:t>
      </w:r>
      <w:r w:rsidR="00057488" w:rsidRPr="002717E7">
        <w:t xml:space="preserve"> w</w:t>
      </w:r>
      <w:r w:rsidR="00057488">
        <w:t> </w:t>
      </w:r>
      <w:r w:rsidR="00057488" w:rsidRPr="002717E7">
        <w:t>spr</w:t>
      </w:r>
      <w:r w:rsidRPr="002717E7">
        <w:t xml:space="preserve">awie bezpieczeństwa kolei wspólnotowych oraz zmieniająca dyrektywę Rady </w:t>
      </w:r>
      <w:r w:rsidRPr="002737E6">
        <w:t>95</w:t>
      </w:r>
      <w:r w:rsidRPr="002717E7">
        <w:t>/</w:t>
      </w:r>
      <w:r w:rsidRPr="002737E6">
        <w:t>18</w:t>
      </w:r>
      <w:r w:rsidRPr="002717E7">
        <w:t>/WE</w:t>
      </w:r>
      <w:r w:rsidR="00057488" w:rsidRPr="002717E7">
        <w:t xml:space="preserve"> w</w:t>
      </w:r>
      <w:r w:rsidR="00057488">
        <w:t> </w:t>
      </w:r>
      <w:r w:rsidR="00057488" w:rsidRPr="002717E7">
        <w:t>spr</w:t>
      </w:r>
      <w:r w:rsidRPr="002717E7">
        <w:t xml:space="preserve">awie przyznawania licencji przedsiębiorstwom kolejowym, oraz dyrektywę </w:t>
      </w:r>
      <w:r w:rsidRPr="002737E6">
        <w:t>2001</w:t>
      </w:r>
      <w:r w:rsidRPr="002717E7">
        <w:t>/</w:t>
      </w:r>
      <w:r w:rsidRPr="002737E6">
        <w:t>14</w:t>
      </w:r>
      <w:r w:rsidRPr="002717E7">
        <w:t>/WE</w:t>
      </w:r>
      <w:r w:rsidR="00057488" w:rsidRPr="002717E7">
        <w:t xml:space="preserve"> w</w:t>
      </w:r>
      <w:r w:rsidR="00057488">
        <w:t> </w:t>
      </w:r>
      <w:r w:rsidR="00057488" w:rsidRPr="002717E7">
        <w:t>spr</w:t>
      </w:r>
      <w:r w:rsidRPr="002717E7">
        <w:t>awie alokacji zdolności przepustowej infrastruktury kolejowej</w:t>
      </w:r>
      <w:r w:rsidR="00057488" w:rsidRPr="002717E7">
        <w:t xml:space="preserve"> i</w:t>
      </w:r>
      <w:r w:rsidR="00057488">
        <w:t> </w:t>
      </w:r>
      <w:r w:rsidR="00057488" w:rsidRPr="002717E7">
        <w:t>pob</w:t>
      </w:r>
      <w:r w:rsidRPr="002717E7">
        <w:t>ierania opłat za użytkowanie infrastruktury kolejowej oraz certyfikację</w:t>
      </w:r>
      <w:r w:rsidR="00057488" w:rsidRPr="002717E7">
        <w:t xml:space="preserve"> w</w:t>
      </w:r>
      <w:r w:rsidR="00057488">
        <w:t> </w:t>
      </w:r>
      <w:r w:rsidR="00057488" w:rsidRPr="002717E7">
        <w:t>zak</w:t>
      </w:r>
      <w:r w:rsidRPr="002717E7">
        <w:t>resie bezpieczeństwa (Dyrektywa</w:t>
      </w:r>
      <w:r w:rsidR="00057488" w:rsidRPr="002717E7">
        <w:t xml:space="preserve"> w</w:t>
      </w:r>
      <w:r w:rsidR="00057488">
        <w:t> </w:t>
      </w:r>
      <w:r w:rsidR="00057488" w:rsidRPr="002717E7">
        <w:t>spr</w:t>
      </w:r>
      <w:r w:rsidRPr="002717E7">
        <w:t>awie bezpieczeństwa kolei), Dz.U. L </w:t>
      </w:r>
      <w:r w:rsidRPr="002737E6">
        <w:t>164</w:t>
      </w:r>
      <w:r w:rsidR="00057488" w:rsidRPr="002717E7">
        <w:t xml:space="preserve"> z</w:t>
      </w:r>
      <w:r w:rsidR="00057488">
        <w:t> </w:t>
      </w:r>
      <w:r w:rsidR="00057488" w:rsidRPr="002737E6">
        <w:t>3</w:t>
      </w:r>
      <w:r w:rsidRPr="002737E6">
        <w:t>0</w:t>
      </w:r>
      <w:r w:rsidRPr="002717E7">
        <w:t>.</w:t>
      </w:r>
      <w:r w:rsidRPr="002737E6">
        <w:t>4</w:t>
      </w:r>
      <w:r w:rsidRPr="002717E7">
        <w:t>.</w:t>
      </w:r>
      <w:r w:rsidRPr="002737E6">
        <w:t>2004</w:t>
      </w:r>
      <w:r w:rsidRPr="002717E7">
        <w:t xml:space="preserve">, </w:t>
      </w:r>
      <w:proofErr w:type="gramStart"/>
      <w:r w:rsidRPr="002717E7">
        <w:t>s</w:t>
      </w:r>
      <w:proofErr w:type="gramEnd"/>
      <w:r w:rsidRPr="002717E7">
        <w:t>. </w:t>
      </w:r>
      <w:r w:rsidRPr="002737E6">
        <w:t>44</w:t>
      </w:r>
      <w:r w:rsidRPr="002717E7">
        <w:t>.</w:t>
      </w:r>
    </w:p>
  </w:footnote>
  <w:footnote w:id="8">
    <w:p w:rsidR="006E547D" w:rsidRPr="002717E7" w:rsidRDefault="006E547D" w:rsidP="006E547D">
      <w:pPr>
        <w:pStyle w:val="FootnoteText"/>
      </w:pPr>
      <w:r>
        <w:rPr>
          <w:rStyle w:val="FootnoteReference"/>
        </w:rPr>
        <w:footnoteRef/>
      </w:r>
      <w:r w:rsidRPr="002717E7">
        <w:tab/>
        <w:t>Rozporządzenie delegowane Komisji (</w:t>
      </w:r>
      <w:proofErr w:type="gramStart"/>
      <w:r w:rsidRPr="002717E7">
        <w:t>UE) .../...</w:t>
      </w:r>
      <w:r w:rsidR="00057488" w:rsidRPr="002717E7">
        <w:t xml:space="preserve"> z</w:t>
      </w:r>
      <w:proofErr w:type="gramEnd"/>
      <w:r w:rsidR="00057488">
        <w:t> </w:t>
      </w:r>
      <w:r w:rsidR="00057488" w:rsidRPr="002717E7">
        <w:t>dni</w:t>
      </w:r>
      <w:r w:rsidRPr="002717E7">
        <w:t>a […] r. ustanawiające wspólne metody oceny bezpieczeństwa</w:t>
      </w:r>
      <w:r w:rsidR="00057488" w:rsidRPr="002717E7">
        <w:t xml:space="preserve"> w</w:t>
      </w:r>
      <w:r w:rsidR="00057488">
        <w:t> </w:t>
      </w:r>
      <w:r w:rsidR="00057488" w:rsidRPr="002717E7">
        <w:t>odn</w:t>
      </w:r>
      <w:r w:rsidRPr="002717E7">
        <w:t>iesieniu do wymogów dotyczących systemu zarządzania bezpieczeństwem na podstawie dyrektywy Parlamentu Europejskiego</w:t>
      </w:r>
      <w:r w:rsidR="00057488" w:rsidRPr="002717E7">
        <w:t xml:space="preserve"> i</w:t>
      </w:r>
      <w:r w:rsidR="00057488">
        <w:t> </w:t>
      </w:r>
      <w:r w:rsidR="00057488" w:rsidRPr="002717E7">
        <w:t>Rad</w:t>
      </w:r>
      <w:r w:rsidRPr="002717E7">
        <w:t xml:space="preserve">y (UE) </w:t>
      </w:r>
      <w:r w:rsidRPr="002737E6">
        <w:t>2016</w:t>
      </w:r>
      <w:r w:rsidRPr="002717E7">
        <w:t>/</w:t>
      </w:r>
      <w:r w:rsidRPr="002737E6">
        <w:t>798</w:t>
      </w:r>
      <w:r w:rsidRPr="002717E7">
        <w:t xml:space="preserve"> oraz uchylające rozporządzenia Komisji (UE) </w:t>
      </w:r>
      <w:r w:rsidRPr="00057488">
        <w:t>nr</w:t>
      </w:r>
      <w:r w:rsidR="00057488" w:rsidRPr="00057488">
        <w:t> </w:t>
      </w:r>
      <w:r w:rsidRPr="002737E6">
        <w:t>1158</w:t>
      </w:r>
      <w:r w:rsidRPr="002717E7">
        <w:t>/</w:t>
      </w:r>
      <w:r w:rsidRPr="002737E6">
        <w:t>2010</w:t>
      </w:r>
      <w:r w:rsidRPr="002717E7">
        <w:t xml:space="preserve"> i (UE) </w:t>
      </w:r>
      <w:r w:rsidRPr="00057488">
        <w:t>nr</w:t>
      </w:r>
      <w:r w:rsidR="00057488" w:rsidRPr="00057488">
        <w:t> </w:t>
      </w:r>
      <w:r w:rsidRPr="002737E6">
        <w:t>1169</w:t>
      </w:r>
      <w:r w:rsidRPr="002717E7">
        <w:t>/</w:t>
      </w:r>
      <w:r w:rsidRPr="002737E6">
        <w:t>2010</w:t>
      </w:r>
      <w:r w:rsidRPr="002717E7">
        <w:t>, Dz.U. L […] z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91" w:rsidRDefault="00AE3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91" w:rsidRDefault="00AE3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91" w:rsidRDefault="00AE3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8476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36CA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37EF2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8E5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9C08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A6866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30EAA6"/>
    <w:lvl w:ilvl="0">
      <w:start w:val="1"/>
      <w:numFmt w:val="decimal"/>
      <w:pStyle w:val="ListNumber"/>
      <w:lvlText w:val="%1."/>
      <w:lvlJc w:val="left"/>
      <w:pPr>
        <w:tabs>
          <w:tab w:val="num" w:pos="360"/>
        </w:tabs>
        <w:ind w:left="360" w:hanging="360"/>
      </w:pPr>
    </w:lvl>
  </w:abstractNum>
  <w:abstractNum w:abstractNumId="7">
    <w:nsid w:val="FFFFFF89"/>
    <w:multiLevelType w:val="singleLevel"/>
    <w:tmpl w:val="E35A8E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6"/>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9 14:11: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VERPAGE_GUID" w:val="4BAB1C49F9784F31B70FCC2E752B81FA"/>
    <w:docVar w:name="LW_CROSSREFERENCE" w:val="&lt;UNUSED&gt;"/>
    <w:docVar w:name="LW_DATE.ADOPT.CP" w:val="z dnia XXX r."/>
    <w:docVar w:name="LW_DATE.ADOPT.CP_DATEFORMAT" w:val="z dnia %DATE% r."/>
    <w:docVar w:name="LW_DATE.ADOPT.CP_ISODATE" w:val="&lt;EMPTY&gt;"/>
    <w:docVar w:name="LW_DocType" w:val="COM"/>
    <w:docVar w:name="LW_EMISSION" w:val="&lt;EMPTY&gt;"/>
    <w:docVar w:name="LW_EMISSION_ISODATE" w:val="&lt;EMPTY&gt;"/>
    <w:docVar w:name="LW_EMISSION_LOCATION" w:val="BRX"/>
    <w:docVar w:name="LW_EMISSION_PREFIX" w:val="Bruksela, dnia "/>
    <w:docVar w:name="LW_EMISSION_SUFFIX" w:val=" r."/>
    <w:docVar w:name="LW_ID_DOCMODEL" w:val="SJ-003"/>
    <w:docVar w:name="LW_ID_DOCSIGNATURE" w:val="SJ-003"/>
    <w:docVar w:name="LW_ID_DOCSTRUCTURE" w:val="COM/AA"/>
    <w:docVar w:name="LW_ID_DOCTYPE" w:val="SJ-003"/>
    <w:docVar w:name="LW_INTERETEEE.CP" w:val="(Tekst maj\u261?cy znaczenie dla EOG)"/>
    <w:docVar w:name="LW_LANGUE" w:val="PL"/>
    <w:docVar w:name="LW_LANGUESFAISANTFOI.CP" w:val="&lt;UNUSED&gt;"/>
    <w:docVar w:name="LW_MARKING" w:val="&lt;UNUSED&gt;"/>
    <w:docVar w:name="LW_NOM.INST" w:val="KOMISJA EUROPEJSKA"/>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OUS.TITRE.OBJ.CP" w:val="&lt;UNUSED&gt;"/>
    <w:docVar w:name="LW_SUPERTITRE" w:val="&lt;UNUSED&gt;"/>
    <w:docVar w:name="LW_TITRE.OBJ.CP" w:val="ustanawiaj\u261?ce wspólne metody oceny bezpiecze\u324?stwa w odniesieniu do nadzoru sprawowanego przez krajowe organy ds. bezpiecze\u324?stwa po wydaniu jednolitego certyfikatu bezpiecze\u324?stwa lub autoryzacji w zakresie bezpiecze\u324?stwa na podstawie dyrektywy Parlamentu Europejskiego i Rady (UE) 2016/798 i uchylaj\u261?ce rozporz\u261?dzenie Komisji (UE) nr 1077/2012"/>
    <w:docVar w:name="LW_TYPE.DOC.CP" w:val="ROZPORZ\u260?DZENIE DELEGOWANE KOMISJI (UE) \u8230?/\u8230?"/>
  </w:docVars>
  <w:rsids>
    <w:rsidRoot w:val="006E547D"/>
    <w:rsid w:val="000154BA"/>
    <w:rsid w:val="00057488"/>
    <w:rsid w:val="000D3B73"/>
    <w:rsid w:val="00171635"/>
    <w:rsid w:val="00172361"/>
    <w:rsid w:val="002717E7"/>
    <w:rsid w:val="002737E6"/>
    <w:rsid w:val="002C7919"/>
    <w:rsid w:val="0034445E"/>
    <w:rsid w:val="003852CD"/>
    <w:rsid w:val="003C33DE"/>
    <w:rsid w:val="00416463"/>
    <w:rsid w:val="00430266"/>
    <w:rsid w:val="00431CEE"/>
    <w:rsid w:val="00451293"/>
    <w:rsid w:val="00673264"/>
    <w:rsid w:val="006E547D"/>
    <w:rsid w:val="00715D61"/>
    <w:rsid w:val="007D53B6"/>
    <w:rsid w:val="00830657"/>
    <w:rsid w:val="00835206"/>
    <w:rsid w:val="008E2281"/>
    <w:rsid w:val="00965FAE"/>
    <w:rsid w:val="00A05FC3"/>
    <w:rsid w:val="00A07C5C"/>
    <w:rsid w:val="00A309C4"/>
    <w:rsid w:val="00AE3291"/>
    <w:rsid w:val="00B04DCA"/>
    <w:rsid w:val="00B44CFD"/>
    <w:rsid w:val="00C058AB"/>
    <w:rsid w:val="00C120E1"/>
    <w:rsid w:val="00CD582F"/>
    <w:rsid w:val="00F87183"/>
    <w:rsid w:val="00F9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7D"/>
    <w:rPr>
      <w:rFonts w:ascii="Tahoma" w:hAnsi="Tahoma" w:cs="Tahoma"/>
      <w:sz w:val="16"/>
      <w:szCs w:val="16"/>
      <w:lang w:val="pl-PL"/>
    </w:rPr>
  </w:style>
  <w:style w:type="paragraph" w:styleId="ListBullet4">
    <w:name w:val="List Bullet 4"/>
    <w:basedOn w:val="Normal"/>
    <w:uiPriority w:val="99"/>
    <w:semiHidden/>
    <w:unhideWhenUsed/>
    <w:rsid w:val="006E547D"/>
    <w:pPr>
      <w:numPr>
        <w:numId w:val="1"/>
      </w:numPr>
      <w:contextualSpacing/>
    </w:pPr>
  </w:style>
  <w:style w:type="character" w:styleId="CommentReference">
    <w:name w:val="annotation reference"/>
    <w:basedOn w:val="DefaultParagraphFont"/>
    <w:uiPriority w:val="99"/>
    <w:semiHidden/>
    <w:unhideWhenUsed/>
    <w:rsid w:val="006E547D"/>
    <w:rPr>
      <w:sz w:val="16"/>
      <w:szCs w:val="16"/>
    </w:rPr>
  </w:style>
  <w:style w:type="paragraph" w:styleId="CommentText">
    <w:name w:val="annotation text"/>
    <w:basedOn w:val="Normal"/>
    <w:link w:val="CommentTextChar"/>
    <w:uiPriority w:val="99"/>
    <w:semiHidden/>
    <w:unhideWhenUsed/>
    <w:rsid w:val="006E547D"/>
    <w:rPr>
      <w:sz w:val="20"/>
      <w:szCs w:val="20"/>
    </w:rPr>
  </w:style>
  <w:style w:type="character" w:customStyle="1" w:styleId="CommentTextChar">
    <w:name w:val="Comment Text Char"/>
    <w:basedOn w:val="DefaultParagraphFont"/>
    <w:link w:val="CommentText"/>
    <w:uiPriority w:val="99"/>
    <w:semiHidden/>
    <w:rsid w:val="006E547D"/>
    <w:rPr>
      <w:rFonts w:ascii="Times New Roman" w:hAnsi="Times New Roman" w:cs="Times New Roman"/>
      <w:sz w:val="20"/>
      <w:szCs w:val="20"/>
      <w:lang w:val="pl-PL"/>
    </w:rPr>
  </w:style>
  <w:style w:type="character" w:styleId="Hyperlink">
    <w:name w:val="Hyperlink"/>
    <w:basedOn w:val="DefaultParagraphFont"/>
    <w:uiPriority w:val="99"/>
    <w:unhideWhenUsed/>
    <w:rsid w:val="006E547D"/>
    <w:rPr>
      <w:color w:val="0000FF" w:themeColor="hyperlink"/>
      <w:u w:val="single"/>
    </w:rPr>
  </w:style>
  <w:style w:type="paragraph" w:styleId="Caption">
    <w:name w:val="caption"/>
    <w:basedOn w:val="Normal"/>
    <w:next w:val="Normal"/>
    <w:uiPriority w:val="35"/>
    <w:semiHidden/>
    <w:unhideWhenUsed/>
    <w:qFormat/>
    <w:rsid w:val="002C791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2C7919"/>
    <w:pPr>
      <w:spacing w:after="0"/>
    </w:pPr>
  </w:style>
  <w:style w:type="paragraph" w:styleId="ListBullet">
    <w:name w:val="List Bullet"/>
    <w:basedOn w:val="Normal"/>
    <w:uiPriority w:val="99"/>
    <w:semiHidden/>
    <w:unhideWhenUsed/>
    <w:rsid w:val="002C7919"/>
    <w:pPr>
      <w:numPr>
        <w:numId w:val="8"/>
      </w:numPr>
      <w:contextualSpacing/>
    </w:pPr>
  </w:style>
  <w:style w:type="paragraph" w:styleId="ListBullet2">
    <w:name w:val="List Bullet 2"/>
    <w:basedOn w:val="Normal"/>
    <w:uiPriority w:val="99"/>
    <w:semiHidden/>
    <w:unhideWhenUsed/>
    <w:rsid w:val="002C7919"/>
    <w:pPr>
      <w:numPr>
        <w:numId w:val="9"/>
      </w:numPr>
      <w:contextualSpacing/>
    </w:pPr>
  </w:style>
  <w:style w:type="paragraph" w:styleId="ListBullet3">
    <w:name w:val="List Bullet 3"/>
    <w:basedOn w:val="Normal"/>
    <w:uiPriority w:val="99"/>
    <w:semiHidden/>
    <w:unhideWhenUsed/>
    <w:rsid w:val="002C7919"/>
    <w:pPr>
      <w:numPr>
        <w:numId w:val="10"/>
      </w:numPr>
      <w:contextualSpacing/>
    </w:pPr>
  </w:style>
  <w:style w:type="paragraph" w:styleId="ListNumber">
    <w:name w:val="List Number"/>
    <w:basedOn w:val="Normal"/>
    <w:uiPriority w:val="99"/>
    <w:semiHidden/>
    <w:unhideWhenUsed/>
    <w:rsid w:val="002C7919"/>
    <w:pPr>
      <w:numPr>
        <w:numId w:val="11"/>
      </w:numPr>
      <w:contextualSpacing/>
    </w:pPr>
  </w:style>
  <w:style w:type="paragraph" w:styleId="ListNumber2">
    <w:name w:val="List Number 2"/>
    <w:basedOn w:val="Normal"/>
    <w:uiPriority w:val="99"/>
    <w:semiHidden/>
    <w:unhideWhenUsed/>
    <w:rsid w:val="002C7919"/>
    <w:pPr>
      <w:numPr>
        <w:numId w:val="12"/>
      </w:numPr>
      <w:contextualSpacing/>
    </w:pPr>
  </w:style>
  <w:style w:type="paragraph" w:styleId="ListNumber3">
    <w:name w:val="List Number 3"/>
    <w:basedOn w:val="Normal"/>
    <w:uiPriority w:val="99"/>
    <w:semiHidden/>
    <w:unhideWhenUsed/>
    <w:rsid w:val="002C7919"/>
    <w:pPr>
      <w:numPr>
        <w:numId w:val="13"/>
      </w:numPr>
      <w:contextualSpacing/>
    </w:pPr>
  </w:style>
  <w:style w:type="paragraph" w:styleId="ListNumber4">
    <w:name w:val="List Number 4"/>
    <w:basedOn w:val="Normal"/>
    <w:uiPriority w:val="99"/>
    <w:semiHidden/>
    <w:unhideWhenUsed/>
    <w:rsid w:val="002C7919"/>
    <w:pPr>
      <w:numPr>
        <w:numId w:val="14"/>
      </w:numPr>
      <w:contextualSpacing/>
    </w:pPr>
  </w:style>
  <w:style w:type="paragraph" w:styleId="CommentSubject">
    <w:name w:val="annotation subject"/>
    <w:basedOn w:val="CommentText"/>
    <w:next w:val="CommentText"/>
    <w:link w:val="CommentSubjectChar"/>
    <w:uiPriority w:val="99"/>
    <w:semiHidden/>
    <w:unhideWhenUsed/>
    <w:rsid w:val="00A07C5C"/>
    <w:rPr>
      <w:b/>
      <w:bCs/>
    </w:rPr>
  </w:style>
  <w:style w:type="character" w:customStyle="1" w:styleId="CommentSubjectChar">
    <w:name w:val="Comment Subject Char"/>
    <w:basedOn w:val="CommentTextChar"/>
    <w:link w:val="CommentSubject"/>
    <w:uiPriority w:val="99"/>
    <w:semiHidden/>
    <w:rsid w:val="00A07C5C"/>
    <w:rPr>
      <w:rFonts w:ascii="Times New Roman" w:hAnsi="Times New Roman" w:cs="Times New Roman"/>
      <w:b/>
      <w:bCs/>
      <w:sz w:val="20"/>
      <w:szCs w:val="20"/>
      <w:lang w:val="pl-PL"/>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9"/>
      </w:numPr>
    </w:pPr>
  </w:style>
  <w:style w:type="paragraph" w:customStyle="1" w:styleId="Tiret1">
    <w:name w:val="Tiret 1"/>
    <w:basedOn w:val="Point1"/>
    <w:rsid w:val="007D53B6"/>
    <w:pPr>
      <w:numPr>
        <w:numId w:val="30"/>
      </w:numPr>
    </w:pPr>
  </w:style>
  <w:style w:type="paragraph" w:customStyle="1" w:styleId="Tiret2">
    <w:name w:val="Tiret 2"/>
    <w:basedOn w:val="Point2"/>
    <w:rsid w:val="007D53B6"/>
    <w:pPr>
      <w:numPr>
        <w:numId w:val="31"/>
      </w:numPr>
    </w:pPr>
  </w:style>
  <w:style w:type="paragraph" w:customStyle="1" w:styleId="Tiret3">
    <w:name w:val="Tiret 3"/>
    <w:basedOn w:val="Point3"/>
    <w:rsid w:val="007D53B6"/>
    <w:pPr>
      <w:numPr>
        <w:numId w:val="32"/>
      </w:numPr>
    </w:pPr>
  </w:style>
  <w:style w:type="paragraph" w:customStyle="1" w:styleId="Tiret4">
    <w:name w:val="Tiret 4"/>
    <w:basedOn w:val="Point4"/>
    <w:rsid w:val="007D53B6"/>
    <w:pPr>
      <w:numPr>
        <w:numId w:val="33"/>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4"/>
      </w:numPr>
    </w:pPr>
  </w:style>
  <w:style w:type="paragraph" w:customStyle="1" w:styleId="NumPar2">
    <w:name w:val="NumPar 2"/>
    <w:basedOn w:val="Normal"/>
    <w:next w:val="Text1"/>
    <w:rsid w:val="007D53B6"/>
    <w:pPr>
      <w:numPr>
        <w:ilvl w:val="1"/>
        <w:numId w:val="34"/>
      </w:numPr>
    </w:pPr>
  </w:style>
  <w:style w:type="paragraph" w:customStyle="1" w:styleId="NumPar3">
    <w:name w:val="NumPar 3"/>
    <w:basedOn w:val="Normal"/>
    <w:next w:val="Text1"/>
    <w:rsid w:val="007D53B6"/>
    <w:pPr>
      <w:numPr>
        <w:ilvl w:val="2"/>
        <w:numId w:val="34"/>
      </w:numPr>
    </w:pPr>
  </w:style>
  <w:style w:type="paragraph" w:customStyle="1" w:styleId="NumPar4">
    <w:name w:val="NumPar 4"/>
    <w:basedOn w:val="Normal"/>
    <w:next w:val="Text1"/>
    <w:rsid w:val="007D53B6"/>
    <w:pPr>
      <w:numPr>
        <w:ilvl w:val="3"/>
        <w:numId w:val="34"/>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6"/>
      </w:numPr>
    </w:pPr>
  </w:style>
  <w:style w:type="paragraph" w:customStyle="1" w:styleId="Point1number">
    <w:name w:val="Point 1 (number)"/>
    <w:basedOn w:val="Normal"/>
    <w:rsid w:val="007D53B6"/>
    <w:pPr>
      <w:numPr>
        <w:ilvl w:val="2"/>
        <w:numId w:val="36"/>
      </w:numPr>
    </w:pPr>
  </w:style>
  <w:style w:type="paragraph" w:customStyle="1" w:styleId="Point2number">
    <w:name w:val="Point 2 (number)"/>
    <w:basedOn w:val="Normal"/>
    <w:rsid w:val="007D53B6"/>
    <w:pPr>
      <w:numPr>
        <w:ilvl w:val="4"/>
        <w:numId w:val="36"/>
      </w:numPr>
    </w:pPr>
  </w:style>
  <w:style w:type="paragraph" w:customStyle="1" w:styleId="Point3number">
    <w:name w:val="Point 3 (number)"/>
    <w:basedOn w:val="Normal"/>
    <w:rsid w:val="007D53B6"/>
    <w:pPr>
      <w:numPr>
        <w:ilvl w:val="6"/>
        <w:numId w:val="36"/>
      </w:numPr>
    </w:pPr>
  </w:style>
  <w:style w:type="paragraph" w:customStyle="1" w:styleId="Point0letter">
    <w:name w:val="Point 0 (letter)"/>
    <w:basedOn w:val="Normal"/>
    <w:rsid w:val="007D53B6"/>
    <w:pPr>
      <w:numPr>
        <w:ilvl w:val="1"/>
        <w:numId w:val="36"/>
      </w:numPr>
    </w:pPr>
  </w:style>
  <w:style w:type="paragraph" w:customStyle="1" w:styleId="Point1letter">
    <w:name w:val="Point 1 (letter)"/>
    <w:basedOn w:val="Normal"/>
    <w:rsid w:val="007D53B6"/>
    <w:pPr>
      <w:numPr>
        <w:ilvl w:val="3"/>
        <w:numId w:val="36"/>
      </w:numPr>
    </w:pPr>
  </w:style>
  <w:style w:type="paragraph" w:customStyle="1" w:styleId="Point2letter">
    <w:name w:val="Point 2 (letter)"/>
    <w:basedOn w:val="Normal"/>
    <w:rsid w:val="007D53B6"/>
    <w:pPr>
      <w:numPr>
        <w:ilvl w:val="5"/>
        <w:numId w:val="36"/>
      </w:numPr>
    </w:pPr>
  </w:style>
  <w:style w:type="paragraph" w:customStyle="1" w:styleId="Point3letter">
    <w:name w:val="Point 3 (letter)"/>
    <w:basedOn w:val="Normal"/>
    <w:rsid w:val="007D53B6"/>
    <w:pPr>
      <w:numPr>
        <w:ilvl w:val="7"/>
        <w:numId w:val="36"/>
      </w:numPr>
    </w:pPr>
  </w:style>
  <w:style w:type="paragraph" w:customStyle="1" w:styleId="Point4letter">
    <w:name w:val="Point 4 (letter)"/>
    <w:basedOn w:val="Normal"/>
    <w:rsid w:val="007D53B6"/>
    <w:pPr>
      <w:numPr>
        <w:ilvl w:val="8"/>
        <w:numId w:val="36"/>
      </w:numPr>
    </w:pPr>
  </w:style>
  <w:style w:type="paragraph" w:customStyle="1" w:styleId="Bullet0">
    <w:name w:val="Bullet 0"/>
    <w:basedOn w:val="Normal"/>
    <w:rsid w:val="007D53B6"/>
    <w:pPr>
      <w:numPr>
        <w:numId w:val="37"/>
      </w:numPr>
    </w:pPr>
  </w:style>
  <w:style w:type="paragraph" w:customStyle="1" w:styleId="Bullet1">
    <w:name w:val="Bullet 1"/>
    <w:basedOn w:val="Normal"/>
    <w:rsid w:val="007D53B6"/>
    <w:pPr>
      <w:numPr>
        <w:numId w:val="38"/>
      </w:numPr>
    </w:pPr>
  </w:style>
  <w:style w:type="paragraph" w:customStyle="1" w:styleId="Bullet2">
    <w:name w:val="Bullet 2"/>
    <w:basedOn w:val="Normal"/>
    <w:rsid w:val="007D53B6"/>
    <w:pPr>
      <w:numPr>
        <w:numId w:val="39"/>
      </w:numPr>
    </w:pPr>
  </w:style>
  <w:style w:type="paragraph" w:customStyle="1" w:styleId="Bullet3">
    <w:name w:val="Bullet 3"/>
    <w:basedOn w:val="Normal"/>
    <w:rsid w:val="007D53B6"/>
    <w:pPr>
      <w:numPr>
        <w:numId w:val="40"/>
      </w:numPr>
    </w:pPr>
  </w:style>
  <w:style w:type="paragraph" w:customStyle="1" w:styleId="Bullet4">
    <w:name w:val="Bullet 4"/>
    <w:basedOn w:val="Normal"/>
    <w:rsid w:val="007D53B6"/>
    <w:pPr>
      <w:numPr>
        <w:numId w:val="41"/>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2"/>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7D"/>
    <w:rPr>
      <w:rFonts w:ascii="Tahoma" w:hAnsi="Tahoma" w:cs="Tahoma"/>
      <w:sz w:val="16"/>
      <w:szCs w:val="16"/>
      <w:lang w:val="pl-PL"/>
    </w:rPr>
  </w:style>
  <w:style w:type="paragraph" w:styleId="ListBullet4">
    <w:name w:val="List Bullet 4"/>
    <w:basedOn w:val="Normal"/>
    <w:uiPriority w:val="99"/>
    <w:semiHidden/>
    <w:unhideWhenUsed/>
    <w:rsid w:val="006E547D"/>
    <w:pPr>
      <w:numPr>
        <w:numId w:val="1"/>
      </w:numPr>
      <w:contextualSpacing/>
    </w:pPr>
  </w:style>
  <w:style w:type="character" w:styleId="CommentReference">
    <w:name w:val="annotation reference"/>
    <w:basedOn w:val="DefaultParagraphFont"/>
    <w:uiPriority w:val="99"/>
    <w:semiHidden/>
    <w:unhideWhenUsed/>
    <w:rsid w:val="006E547D"/>
    <w:rPr>
      <w:sz w:val="16"/>
      <w:szCs w:val="16"/>
    </w:rPr>
  </w:style>
  <w:style w:type="paragraph" w:styleId="CommentText">
    <w:name w:val="annotation text"/>
    <w:basedOn w:val="Normal"/>
    <w:link w:val="CommentTextChar"/>
    <w:uiPriority w:val="99"/>
    <w:semiHidden/>
    <w:unhideWhenUsed/>
    <w:rsid w:val="006E547D"/>
    <w:rPr>
      <w:sz w:val="20"/>
      <w:szCs w:val="20"/>
    </w:rPr>
  </w:style>
  <w:style w:type="character" w:customStyle="1" w:styleId="CommentTextChar">
    <w:name w:val="Comment Text Char"/>
    <w:basedOn w:val="DefaultParagraphFont"/>
    <w:link w:val="CommentText"/>
    <w:uiPriority w:val="99"/>
    <w:semiHidden/>
    <w:rsid w:val="006E547D"/>
    <w:rPr>
      <w:rFonts w:ascii="Times New Roman" w:hAnsi="Times New Roman" w:cs="Times New Roman"/>
      <w:sz w:val="20"/>
      <w:szCs w:val="20"/>
      <w:lang w:val="pl-PL"/>
    </w:rPr>
  </w:style>
  <w:style w:type="character" w:styleId="Hyperlink">
    <w:name w:val="Hyperlink"/>
    <w:basedOn w:val="DefaultParagraphFont"/>
    <w:uiPriority w:val="99"/>
    <w:unhideWhenUsed/>
    <w:rsid w:val="006E547D"/>
    <w:rPr>
      <w:color w:val="0000FF" w:themeColor="hyperlink"/>
      <w:u w:val="single"/>
    </w:rPr>
  </w:style>
  <w:style w:type="paragraph" w:styleId="Caption">
    <w:name w:val="caption"/>
    <w:basedOn w:val="Normal"/>
    <w:next w:val="Normal"/>
    <w:uiPriority w:val="35"/>
    <w:semiHidden/>
    <w:unhideWhenUsed/>
    <w:qFormat/>
    <w:rsid w:val="002C791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2C7919"/>
    <w:pPr>
      <w:spacing w:after="0"/>
    </w:pPr>
  </w:style>
  <w:style w:type="paragraph" w:styleId="ListBullet">
    <w:name w:val="List Bullet"/>
    <w:basedOn w:val="Normal"/>
    <w:uiPriority w:val="99"/>
    <w:semiHidden/>
    <w:unhideWhenUsed/>
    <w:rsid w:val="002C7919"/>
    <w:pPr>
      <w:numPr>
        <w:numId w:val="8"/>
      </w:numPr>
      <w:contextualSpacing/>
    </w:pPr>
  </w:style>
  <w:style w:type="paragraph" w:styleId="ListBullet2">
    <w:name w:val="List Bullet 2"/>
    <w:basedOn w:val="Normal"/>
    <w:uiPriority w:val="99"/>
    <w:semiHidden/>
    <w:unhideWhenUsed/>
    <w:rsid w:val="002C7919"/>
    <w:pPr>
      <w:numPr>
        <w:numId w:val="9"/>
      </w:numPr>
      <w:contextualSpacing/>
    </w:pPr>
  </w:style>
  <w:style w:type="paragraph" w:styleId="ListBullet3">
    <w:name w:val="List Bullet 3"/>
    <w:basedOn w:val="Normal"/>
    <w:uiPriority w:val="99"/>
    <w:semiHidden/>
    <w:unhideWhenUsed/>
    <w:rsid w:val="002C7919"/>
    <w:pPr>
      <w:numPr>
        <w:numId w:val="10"/>
      </w:numPr>
      <w:contextualSpacing/>
    </w:pPr>
  </w:style>
  <w:style w:type="paragraph" w:styleId="ListNumber">
    <w:name w:val="List Number"/>
    <w:basedOn w:val="Normal"/>
    <w:uiPriority w:val="99"/>
    <w:semiHidden/>
    <w:unhideWhenUsed/>
    <w:rsid w:val="002C7919"/>
    <w:pPr>
      <w:numPr>
        <w:numId w:val="11"/>
      </w:numPr>
      <w:contextualSpacing/>
    </w:pPr>
  </w:style>
  <w:style w:type="paragraph" w:styleId="ListNumber2">
    <w:name w:val="List Number 2"/>
    <w:basedOn w:val="Normal"/>
    <w:uiPriority w:val="99"/>
    <w:semiHidden/>
    <w:unhideWhenUsed/>
    <w:rsid w:val="002C7919"/>
    <w:pPr>
      <w:numPr>
        <w:numId w:val="12"/>
      </w:numPr>
      <w:contextualSpacing/>
    </w:pPr>
  </w:style>
  <w:style w:type="paragraph" w:styleId="ListNumber3">
    <w:name w:val="List Number 3"/>
    <w:basedOn w:val="Normal"/>
    <w:uiPriority w:val="99"/>
    <w:semiHidden/>
    <w:unhideWhenUsed/>
    <w:rsid w:val="002C7919"/>
    <w:pPr>
      <w:numPr>
        <w:numId w:val="13"/>
      </w:numPr>
      <w:contextualSpacing/>
    </w:pPr>
  </w:style>
  <w:style w:type="paragraph" w:styleId="ListNumber4">
    <w:name w:val="List Number 4"/>
    <w:basedOn w:val="Normal"/>
    <w:uiPriority w:val="99"/>
    <w:semiHidden/>
    <w:unhideWhenUsed/>
    <w:rsid w:val="002C7919"/>
    <w:pPr>
      <w:numPr>
        <w:numId w:val="14"/>
      </w:numPr>
      <w:contextualSpacing/>
    </w:pPr>
  </w:style>
  <w:style w:type="paragraph" w:styleId="CommentSubject">
    <w:name w:val="annotation subject"/>
    <w:basedOn w:val="CommentText"/>
    <w:next w:val="CommentText"/>
    <w:link w:val="CommentSubjectChar"/>
    <w:uiPriority w:val="99"/>
    <w:semiHidden/>
    <w:unhideWhenUsed/>
    <w:rsid w:val="00A07C5C"/>
    <w:rPr>
      <w:b/>
      <w:bCs/>
    </w:rPr>
  </w:style>
  <w:style w:type="character" w:customStyle="1" w:styleId="CommentSubjectChar">
    <w:name w:val="Comment Subject Char"/>
    <w:basedOn w:val="CommentTextChar"/>
    <w:link w:val="CommentSubject"/>
    <w:uiPriority w:val="99"/>
    <w:semiHidden/>
    <w:rsid w:val="00A07C5C"/>
    <w:rPr>
      <w:rFonts w:ascii="Times New Roman" w:hAnsi="Times New Roman" w:cs="Times New Roman"/>
      <w:b/>
      <w:bCs/>
      <w:sz w:val="20"/>
      <w:szCs w:val="20"/>
      <w:lang w:val="pl-PL"/>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9"/>
      </w:numPr>
    </w:pPr>
  </w:style>
  <w:style w:type="paragraph" w:customStyle="1" w:styleId="Tiret1">
    <w:name w:val="Tiret 1"/>
    <w:basedOn w:val="Point1"/>
    <w:rsid w:val="007D53B6"/>
    <w:pPr>
      <w:numPr>
        <w:numId w:val="30"/>
      </w:numPr>
    </w:pPr>
  </w:style>
  <w:style w:type="paragraph" w:customStyle="1" w:styleId="Tiret2">
    <w:name w:val="Tiret 2"/>
    <w:basedOn w:val="Point2"/>
    <w:rsid w:val="007D53B6"/>
    <w:pPr>
      <w:numPr>
        <w:numId w:val="31"/>
      </w:numPr>
    </w:pPr>
  </w:style>
  <w:style w:type="paragraph" w:customStyle="1" w:styleId="Tiret3">
    <w:name w:val="Tiret 3"/>
    <w:basedOn w:val="Point3"/>
    <w:rsid w:val="007D53B6"/>
    <w:pPr>
      <w:numPr>
        <w:numId w:val="32"/>
      </w:numPr>
    </w:pPr>
  </w:style>
  <w:style w:type="paragraph" w:customStyle="1" w:styleId="Tiret4">
    <w:name w:val="Tiret 4"/>
    <w:basedOn w:val="Point4"/>
    <w:rsid w:val="007D53B6"/>
    <w:pPr>
      <w:numPr>
        <w:numId w:val="33"/>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4"/>
      </w:numPr>
    </w:pPr>
  </w:style>
  <w:style w:type="paragraph" w:customStyle="1" w:styleId="NumPar2">
    <w:name w:val="NumPar 2"/>
    <w:basedOn w:val="Normal"/>
    <w:next w:val="Text1"/>
    <w:rsid w:val="007D53B6"/>
    <w:pPr>
      <w:numPr>
        <w:ilvl w:val="1"/>
        <w:numId w:val="34"/>
      </w:numPr>
    </w:pPr>
  </w:style>
  <w:style w:type="paragraph" w:customStyle="1" w:styleId="NumPar3">
    <w:name w:val="NumPar 3"/>
    <w:basedOn w:val="Normal"/>
    <w:next w:val="Text1"/>
    <w:rsid w:val="007D53B6"/>
    <w:pPr>
      <w:numPr>
        <w:ilvl w:val="2"/>
        <w:numId w:val="34"/>
      </w:numPr>
    </w:pPr>
  </w:style>
  <w:style w:type="paragraph" w:customStyle="1" w:styleId="NumPar4">
    <w:name w:val="NumPar 4"/>
    <w:basedOn w:val="Normal"/>
    <w:next w:val="Text1"/>
    <w:rsid w:val="007D53B6"/>
    <w:pPr>
      <w:numPr>
        <w:ilvl w:val="3"/>
        <w:numId w:val="34"/>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6"/>
      </w:numPr>
    </w:pPr>
  </w:style>
  <w:style w:type="paragraph" w:customStyle="1" w:styleId="Point1number">
    <w:name w:val="Point 1 (number)"/>
    <w:basedOn w:val="Normal"/>
    <w:rsid w:val="007D53B6"/>
    <w:pPr>
      <w:numPr>
        <w:ilvl w:val="2"/>
        <w:numId w:val="36"/>
      </w:numPr>
    </w:pPr>
  </w:style>
  <w:style w:type="paragraph" w:customStyle="1" w:styleId="Point2number">
    <w:name w:val="Point 2 (number)"/>
    <w:basedOn w:val="Normal"/>
    <w:rsid w:val="007D53B6"/>
    <w:pPr>
      <w:numPr>
        <w:ilvl w:val="4"/>
        <w:numId w:val="36"/>
      </w:numPr>
    </w:pPr>
  </w:style>
  <w:style w:type="paragraph" w:customStyle="1" w:styleId="Point3number">
    <w:name w:val="Point 3 (number)"/>
    <w:basedOn w:val="Normal"/>
    <w:rsid w:val="007D53B6"/>
    <w:pPr>
      <w:numPr>
        <w:ilvl w:val="6"/>
        <w:numId w:val="36"/>
      </w:numPr>
    </w:pPr>
  </w:style>
  <w:style w:type="paragraph" w:customStyle="1" w:styleId="Point0letter">
    <w:name w:val="Point 0 (letter)"/>
    <w:basedOn w:val="Normal"/>
    <w:rsid w:val="007D53B6"/>
    <w:pPr>
      <w:numPr>
        <w:ilvl w:val="1"/>
        <w:numId w:val="36"/>
      </w:numPr>
    </w:pPr>
  </w:style>
  <w:style w:type="paragraph" w:customStyle="1" w:styleId="Point1letter">
    <w:name w:val="Point 1 (letter)"/>
    <w:basedOn w:val="Normal"/>
    <w:rsid w:val="007D53B6"/>
    <w:pPr>
      <w:numPr>
        <w:ilvl w:val="3"/>
        <w:numId w:val="36"/>
      </w:numPr>
    </w:pPr>
  </w:style>
  <w:style w:type="paragraph" w:customStyle="1" w:styleId="Point2letter">
    <w:name w:val="Point 2 (letter)"/>
    <w:basedOn w:val="Normal"/>
    <w:rsid w:val="007D53B6"/>
    <w:pPr>
      <w:numPr>
        <w:ilvl w:val="5"/>
        <w:numId w:val="36"/>
      </w:numPr>
    </w:pPr>
  </w:style>
  <w:style w:type="paragraph" w:customStyle="1" w:styleId="Point3letter">
    <w:name w:val="Point 3 (letter)"/>
    <w:basedOn w:val="Normal"/>
    <w:rsid w:val="007D53B6"/>
    <w:pPr>
      <w:numPr>
        <w:ilvl w:val="7"/>
        <w:numId w:val="36"/>
      </w:numPr>
    </w:pPr>
  </w:style>
  <w:style w:type="paragraph" w:customStyle="1" w:styleId="Point4letter">
    <w:name w:val="Point 4 (letter)"/>
    <w:basedOn w:val="Normal"/>
    <w:rsid w:val="007D53B6"/>
    <w:pPr>
      <w:numPr>
        <w:ilvl w:val="8"/>
        <w:numId w:val="36"/>
      </w:numPr>
    </w:pPr>
  </w:style>
  <w:style w:type="paragraph" w:customStyle="1" w:styleId="Bullet0">
    <w:name w:val="Bullet 0"/>
    <w:basedOn w:val="Normal"/>
    <w:rsid w:val="007D53B6"/>
    <w:pPr>
      <w:numPr>
        <w:numId w:val="37"/>
      </w:numPr>
    </w:pPr>
  </w:style>
  <w:style w:type="paragraph" w:customStyle="1" w:styleId="Bullet1">
    <w:name w:val="Bullet 1"/>
    <w:basedOn w:val="Normal"/>
    <w:rsid w:val="007D53B6"/>
    <w:pPr>
      <w:numPr>
        <w:numId w:val="38"/>
      </w:numPr>
    </w:pPr>
  </w:style>
  <w:style w:type="paragraph" w:customStyle="1" w:styleId="Bullet2">
    <w:name w:val="Bullet 2"/>
    <w:basedOn w:val="Normal"/>
    <w:rsid w:val="007D53B6"/>
    <w:pPr>
      <w:numPr>
        <w:numId w:val="39"/>
      </w:numPr>
    </w:pPr>
  </w:style>
  <w:style w:type="paragraph" w:customStyle="1" w:styleId="Bullet3">
    <w:name w:val="Bullet 3"/>
    <w:basedOn w:val="Normal"/>
    <w:rsid w:val="007D53B6"/>
    <w:pPr>
      <w:numPr>
        <w:numId w:val="40"/>
      </w:numPr>
    </w:pPr>
  </w:style>
  <w:style w:type="paragraph" w:customStyle="1" w:styleId="Bullet4">
    <w:name w:val="Bullet 4"/>
    <w:basedOn w:val="Normal"/>
    <w:rsid w:val="007D53B6"/>
    <w:pPr>
      <w:numPr>
        <w:numId w:val="41"/>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2"/>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0397-DB74-4CC9-BF77-56486AA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2614</Words>
  <Characters>17483</Characters>
  <Application>Microsoft Office Word</Application>
  <DocSecurity>0</DocSecurity>
  <Lines>310</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 Solange (MOVE)</dc:creator>
  <cp:lastModifiedBy>KEDZIERSKA Dorota (DGT)</cp:lastModifiedBy>
  <cp:revision>3</cp:revision>
  <dcterms:created xsi:type="dcterms:W3CDTF">2017-10-19T12:10:00Z</dcterms:created>
  <dcterms:modified xsi:type="dcterms:W3CDTF">2017-10-19T12:11:00Z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SJ-003</vt:lpwstr>
  </property>
  <property fmtid="{D5CDD505-2E9C-101B-9397-08002B2CF9AE}" pid="10" name="DQCStatus">
    <vt:lpwstr>Green (DQC version 03)</vt:lpwstr>
  </property>
</Properties>
</file>